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Context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21077P108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James Silverman, One Boston Place,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Boston, MA 02108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12/27/2023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10020" w:firstLine="8"/>
        <w:spacing w:after="0" w:line="226" w:lineRule="exact"/>
        <w:tabs>
          <w:tab w:leader="none" w:pos="207"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Rule 13d-1(b)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13d-1(c)</w:t>
      </w: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46" w:lineRule="exact"/>
        <w:rPr>
          <w:sz w:val="24"/>
          <w:szCs w:val="24"/>
          <w:color w:val="auto"/>
        </w:rPr>
      </w:pPr>
    </w:p>
    <w:p>
      <w:pPr>
        <w:ind w:firstLine="8"/>
        <w:spacing w:after="0" w:line="195" w:lineRule="auto"/>
        <w:tabs>
          <w:tab w:leader="none" w:pos="112"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474980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5460" w:val="left"/>
          <w:tab w:leader="none" w:pos="10020" w:val="left"/>
        </w:tabs>
        <w:rPr>
          <w:sz w:val="20"/>
          <w:szCs w:val="20"/>
          <w:color w:val="auto"/>
        </w:rPr>
      </w:pPr>
      <w:r>
        <w:rPr>
          <w:rFonts w:ascii="Times New Roman" w:cs="Times New Roman" w:eastAsia="Times New Roman" w:hAnsi="Times New Roman"/>
          <w:sz w:val="18"/>
          <w:szCs w:val="18"/>
          <w:color w:val="auto"/>
        </w:rPr>
        <w:t>CUSIP No. 21077P108</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2 of 6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660" w:right="7800" w:hanging="396"/>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Opaleye Management Inc.</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20-5648796</w:t>
      </w:r>
    </w:p>
    <w:p>
      <w:pPr>
        <w:spacing w:after="0" w:line="233" w:lineRule="exact"/>
        <w:rPr>
          <w:rFonts w:ascii="Times New Roman" w:cs="Times New Roman" w:eastAsia="Times New Roman" w:hAnsi="Times New Roman"/>
          <w:sz w:val="18"/>
          <w:szCs w:val="18"/>
          <w:color w:val="auto"/>
        </w:rPr>
      </w:pPr>
    </w:p>
    <w:p>
      <w:pPr>
        <w:ind w:left="660" w:hanging="39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4" w:lineRule="exact"/>
        <w:rPr>
          <w:rFonts w:ascii="Times New Roman" w:cs="Times New Roman" w:eastAsia="Times New Roman" w:hAnsi="Times New Roman"/>
          <w:sz w:val="18"/>
          <w:szCs w:val="18"/>
          <w:color w:val="auto"/>
        </w:rPr>
      </w:pPr>
    </w:p>
    <w:p>
      <w:pPr>
        <w:ind w:left="900" w:hanging="244"/>
        <w:spacing w:after="0" w:line="207" w:lineRule="exact"/>
        <w:tabs>
          <w:tab w:leader="none" w:pos="90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69" w:lineRule="exact"/>
        <w:rPr>
          <w:rFonts w:ascii="Times New Roman" w:cs="Times New Roman" w:eastAsia="Times New Roman" w:hAnsi="Times New Roman"/>
          <w:sz w:val="18"/>
          <w:szCs w:val="18"/>
          <w:color w:val="auto"/>
        </w:rPr>
      </w:pPr>
    </w:p>
    <w:p>
      <w:pPr>
        <w:ind w:left="920" w:hanging="264"/>
        <w:spacing w:after="0" w:line="207" w:lineRule="exact"/>
        <w:tabs>
          <w:tab w:leader="none" w:pos="92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5" w:lineRule="exact"/>
        <w:rPr>
          <w:rFonts w:ascii="Times New Roman" w:cs="Times New Roman" w:eastAsia="Times New Roman" w:hAnsi="Times New Roman"/>
          <w:sz w:val="18"/>
          <w:szCs w:val="18"/>
          <w:color w:val="auto"/>
        </w:rPr>
      </w:pPr>
    </w:p>
    <w:p>
      <w:pPr>
        <w:ind w:left="660" w:hanging="39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8" w:lineRule="exact"/>
        <w:rPr>
          <w:rFonts w:ascii="Times New Roman" w:cs="Times New Roman" w:eastAsia="Times New Roman" w:hAnsi="Times New Roman"/>
          <w:sz w:val="18"/>
          <w:szCs w:val="18"/>
          <w:color w:val="auto"/>
        </w:rPr>
      </w:pPr>
    </w:p>
    <w:p>
      <w:pPr>
        <w:ind w:left="660" w:right="6920" w:hanging="396"/>
        <w:spacing w:after="0" w:line="39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Massachusetts</w:t>
      </w:r>
    </w:p>
    <w:p>
      <w:pPr>
        <w:ind w:left="2280" w:hanging="396"/>
        <w:spacing w:after="0"/>
        <w:tabs>
          <w:tab w:leader="none" w:pos="22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-993775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-1559560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tbl>
      <w:tblPr>
        <w:tblLayout w:type="fixed"/>
        <w:tblInd w:w="180" w:type="dxa"/>
        <w:tblCellMar>
          <w:top w:w="0" w:type="dxa"/>
          <w:left w:w="0" w:type="dxa"/>
          <w:bottom w:w="0" w:type="dxa"/>
          <w:right w:w="0" w:type="dxa"/>
        </w:tblCellMar>
      </w:tblPr>
      <w:tr>
        <w:trPr>
          <w:trHeight w:val="241"/>
        </w:trPr>
        <w:tc>
          <w:tcPr>
            <w:tcW w:w="14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NUMBER OF</w:t>
            </w:r>
          </w:p>
        </w:tc>
        <w:tc>
          <w:tcPr>
            <w:tcW w:w="520" w:type="dxa"/>
            <w:vAlign w:val="bottom"/>
            <w:tcBorders>
              <w:bottom w:val="single" w:sz="8" w:color="auto"/>
            </w:tcBorders>
          </w:tcPr>
          <w:p>
            <w:pPr>
              <w:spacing w:after="0"/>
              <w:rPr>
                <w:sz w:val="20"/>
                <w:szCs w:val="20"/>
                <w:color w:val="auto"/>
              </w:rPr>
            </w:pPr>
          </w:p>
        </w:tc>
        <w:tc>
          <w:tcPr>
            <w:tcW w:w="9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03"/>
        </w:trPr>
        <w:tc>
          <w:tcPr>
            <w:tcW w:w="1440" w:type="dxa"/>
            <w:vAlign w:val="bottom"/>
            <w:vMerge w:val="continue"/>
          </w:tcPr>
          <w:p>
            <w:pPr>
              <w:spacing w:after="0"/>
              <w:rPr>
                <w:sz w:val="8"/>
                <w:szCs w:val="8"/>
                <w:color w:val="auto"/>
              </w:rPr>
            </w:pPr>
          </w:p>
        </w:tc>
        <w:tc>
          <w:tcPr>
            <w:tcW w:w="5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1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31"/>
        </w:trPr>
        <w:tc>
          <w:tcPr>
            <w:tcW w:w="14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8"/>
              </w:rPr>
              <w:t>SHARES</w:t>
            </w:r>
          </w:p>
        </w:tc>
        <w:tc>
          <w:tcPr>
            <w:tcW w:w="520" w:type="dxa"/>
            <w:vAlign w:val="bottom"/>
            <w:vMerge w:val="continue"/>
          </w:tcPr>
          <w:p>
            <w:pPr>
              <w:spacing w:after="0"/>
              <w:rPr>
                <w:sz w:val="11"/>
                <w:szCs w:val="11"/>
                <w:color w:val="auto"/>
              </w:rPr>
            </w:pPr>
          </w:p>
        </w:tc>
        <w:tc>
          <w:tcPr>
            <w:tcW w:w="9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4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9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BENEFICIALLY</w:t>
            </w:r>
          </w:p>
        </w:tc>
        <w:tc>
          <w:tcPr>
            <w:tcW w:w="520" w:type="dxa"/>
            <w:vAlign w:val="bottom"/>
          </w:tcPr>
          <w:p>
            <w:pPr>
              <w:spacing w:after="0"/>
              <w:rPr>
                <w:sz w:val="18"/>
                <w:szCs w:val="18"/>
                <w:color w:val="auto"/>
              </w:rPr>
            </w:pPr>
          </w:p>
        </w:tc>
        <w:tc>
          <w:tcPr>
            <w:tcW w:w="91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820,0000</w:t>
            </w:r>
          </w:p>
        </w:tc>
        <w:tc>
          <w:tcPr>
            <w:tcW w:w="0" w:type="dxa"/>
            <w:vAlign w:val="bottom"/>
          </w:tcPr>
          <w:p>
            <w:pPr>
              <w:spacing w:after="0"/>
              <w:rPr>
                <w:sz w:val="1"/>
                <w:szCs w:val="1"/>
                <w:color w:val="auto"/>
              </w:rPr>
            </w:pPr>
          </w:p>
        </w:tc>
      </w:tr>
      <w:tr>
        <w:trPr>
          <w:trHeight w:val="120"/>
        </w:trPr>
        <w:tc>
          <w:tcPr>
            <w:tcW w:w="14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OWNED</w:t>
            </w:r>
          </w:p>
        </w:tc>
        <w:tc>
          <w:tcPr>
            <w:tcW w:w="520" w:type="dxa"/>
            <w:vAlign w:val="bottom"/>
            <w:tcBorders>
              <w:bottom w:val="single" w:sz="8" w:color="auto"/>
            </w:tcBorders>
          </w:tcPr>
          <w:p>
            <w:pPr>
              <w:spacing w:after="0"/>
              <w:rPr>
                <w:sz w:val="10"/>
                <w:szCs w:val="10"/>
                <w:color w:val="auto"/>
              </w:rPr>
            </w:pPr>
          </w:p>
        </w:tc>
        <w:tc>
          <w:tcPr>
            <w:tcW w:w="91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440" w:type="dxa"/>
            <w:vAlign w:val="bottom"/>
            <w:vMerge w:val="continue"/>
          </w:tcPr>
          <w:p>
            <w:pPr>
              <w:spacing w:after="0"/>
              <w:rPr>
                <w:sz w:val="6"/>
                <w:szCs w:val="6"/>
                <w:color w:val="auto"/>
              </w:rPr>
            </w:pPr>
          </w:p>
        </w:tc>
        <w:tc>
          <w:tcPr>
            <w:tcW w:w="5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91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4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BY EACH</w:t>
            </w:r>
          </w:p>
        </w:tc>
        <w:tc>
          <w:tcPr>
            <w:tcW w:w="520" w:type="dxa"/>
            <w:vAlign w:val="bottom"/>
            <w:vMerge w:val="continue"/>
          </w:tcPr>
          <w:p>
            <w:pPr>
              <w:spacing w:after="0"/>
              <w:rPr>
                <w:sz w:val="13"/>
                <w:szCs w:val="13"/>
                <w:color w:val="auto"/>
              </w:rPr>
            </w:pPr>
          </w:p>
        </w:tc>
        <w:tc>
          <w:tcPr>
            <w:tcW w:w="9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4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9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REPORTING</w:t>
            </w:r>
          </w:p>
        </w:tc>
        <w:tc>
          <w:tcPr>
            <w:tcW w:w="520" w:type="dxa"/>
            <w:vAlign w:val="bottom"/>
          </w:tcPr>
          <w:p>
            <w:pPr>
              <w:spacing w:after="0"/>
              <w:rPr>
                <w:sz w:val="18"/>
                <w:szCs w:val="18"/>
                <w:color w:val="auto"/>
              </w:rPr>
            </w:pPr>
          </w:p>
        </w:tc>
        <w:tc>
          <w:tcPr>
            <w:tcW w:w="91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47"/>
        </w:trPr>
        <w:tc>
          <w:tcPr>
            <w:tcW w:w="14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PERSON WITH</w:t>
            </w:r>
          </w:p>
        </w:tc>
        <w:tc>
          <w:tcPr>
            <w:tcW w:w="520" w:type="dxa"/>
            <w:vAlign w:val="bottom"/>
            <w:tcBorders>
              <w:bottom w:val="single" w:sz="8" w:color="auto"/>
            </w:tcBorders>
          </w:tcPr>
          <w:p>
            <w:pPr>
              <w:spacing w:after="0"/>
              <w:rPr>
                <w:sz w:val="12"/>
                <w:szCs w:val="12"/>
                <w:color w:val="auto"/>
              </w:rPr>
            </w:pPr>
          </w:p>
        </w:tc>
        <w:tc>
          <w:tcPr>
            <w:tcW w:w="91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440" w:type="dxa"/>
            <w:vAlign w:val="bottom"/>
            <w:vMerge w:val="continue"/>
          </w:tcPr>
          <w:p>
            <w:pPr>
              <w:spacing w:after="0"/>
              <w:rPr>
                <w:sz w:val="5"/>
                <w:szCs w:val="5"/>
                <w:color w:val="auto"/>
              </w:rPr>
            </w:pPr>
          </w:p>
        </w:tc>
        <w:tc>
          <w:tcPr>
            <w:tcW w:w="5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1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67"/>
        </w:trPr>
        <w:tc>
          <w:tcPr>
            <w:tcW w:w="14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9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820,000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260"/>
        <w:spacing w:after="0"/>
        <w:tabs>
          <w:tab w:leader="none" w:pos="640" w:val="left"/>
        </w:tabs>
        <w:rPr>
          <w:sz w:val="20"/>
          <w:szCs w:val="20"/>
          <w:color w:val="auto"/>
        </w:rPr>
      </w:pPr>
      <w:r>
        <w:rPr>
          <w:rFonts w:ascii="Times New Roman" w:cs="Times New Roman" w:eastAsia="Times New Roman" w:hAnsi="Times New Roman"/>
          <w:sz w:val="18"/>
          <w:szCs w:val="18"/>
          <w:color w:val="auto"/>
        </w:rPr>
        <w:t>9.</w:t>
        <w:tab/>
        <w:t>AGGREGATE AMOUNT BENEFICIALLY OWNED BY EACH REPORTING PERSON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820,000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660" w:hanging="440"/>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184"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0" w:right="5520" w:hanging="437"/>
        <w:spacing w:after="0" w:line="38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5.14%</w:t>
      </w:r>
    </w:p>
    <w:p>
      <w:pPr>
        <w:ind w:left="660" w:hanging="440"/>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-839470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spacing w:after="0"/>
        <w:tabs>
          <w:tab w:leader="none" w:pos="5460" w:val="left"/>
          <w:tab w:leader="none" w:pos="10020" w:val="left"/>
        </w:tabs>
        <w:rPr>
          <w:sz w:val="20"/>
          <w:szCs w:val="20"/>
          <w:color w:val="auto"/>
        </w:rPr>
      </w:pPr>
      <w:r>
        <w:rPr>
          <w:rFonts w:ascii="Times New Roman" w:cs="Times New Roman" w:eastAsia="Times New Roman" w:hAnsi="Times New Roman"/>
          <w:sz w:val="18"/>
          <w:szCs w:val="18"/>
          <w:color w:val="auto"/>
        </w:rPr>
        <w:t>CUSIP No. 21077P108</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3 of 6 Page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Name of Issuer: Context Therapeutics Inc., a Delaware corporation (the “Issuer”)</w:t>
      </w:r>
    </w:p>
    <w:p>
      <w:pPr>
        <w:sectPr>
          <w:pgSz w:w="11900" w:h="16838" w:orient="portrait"/>
          <w:cols w:equalWidth="0" w:num="1">
            <w:col w:w="11240"/>
          </w:cols>
          <w:pgMar w:left="320" w:top="688" w:right="339" w:bottom="1440" w:gutter="0" w:footer="0" w:header="0"/>
        </w:sectPr>
      </w:pP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(b)</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1980"/>
        <w:spacing w:after="0"/>
        <w:rPr>
          <w:sz w:val="20"/>
          <w:szCs w:val="20"/>
          <w:color w:val="auto"/>
        </w:rPr>
      </w:pPr>
      <w:r>
        <w:rPr>
          <w:rFonts w:ascii="Times New Roman" w:cs="Times New Roman" w:eastAsia="Times New Roman" w:hAnsi="Times New Roman"/>
          <w:sz w:val="17"/>
          <w:szCs w:val="17"/>
          <w:color w:val="auto"/>
        </w:rPr>
        <w:t xml:space="preserve">Address of Issuer’s Principal Executive Offices: </w:t>
      </w:r>
      <w:r>
        <w:rPr>
          <w:rFonts w:ascii="Times New Roman" w:cs="Times New Roman" w:eastAsia="Times New Roman" w:hAnsi="Times New Roman"/>
          <w:sz w:val="17"/>
          <w:szCs w:val="17"/>
          <w:b w:val="1"/>
          <w:bCs w:val="1"/>
          <w:color w:val="auto"/>
        </w:rPr>
        <w:t>2001 Market Street, Suite 3915, Unit #15</w:t>
      </w:r>
    </w:p>
    <w:p>
      <w:pPr>
        <w:spacing w:after="0" w:line="43" w:lineRule="exact"/>
        <w:rPr>
          <w:sz w:val="20"/>
          <w:szCs w:val="20"/>
          <w:color w:val="auto"/>
        </w:rPr>
      </w:pPr>
    </w:p>
    <w:p>
      <w:pPr>
        <w:jc w:val="center"/>
        <w:ind w:right="1980"/>
        <w:spacing w:after="0"/>
        <w:rPr>
          <w:sz w:val="20"/>
          <w:szCs w:val="20"/>
          <w:color w:val="auto"/>
        </w:rPr>
      </w:pPr>
      <w:r>
        <w:rPr>
          <w:rFonts w:ascii="Times New Roman" w:cs="Times New Roman" w:eastAsia="Times New Roman" w:hAnsi="Times New Roman"/>
          <w:sz w:val="18"/>
          <w:szCs w:val="18"/>
          <w:b w:val="1"/>
          <w:bCs w:val="1"/>
          <w:color w:val="auto"/>
        </w:rPr>
        <w:t>Philadelphia, Pennsylvania 19103</w:t>
      </w:r>
    </w:p>
    <w:p>
      <w:pPr>
        <w:spacing w:after="0" w:line="200" w:lineRule="exact"/>
        <w:rPr>
          <w:sz w:val="20"/>
          <w:szCs w:val="20"/>
          <w:color w:val="auto"/>
        </w:rPr>
      </w:pPr>
    </w:p>
    <w:p>
      <w:pPr>
        <w:sectPr>
          <w:pgSz w:w="11900" w:h="16838" w:orient="portrait"/>
          <w:cols w:equalWidth="0" w:num="2">
            <w:col w:w="1920" w:space="720"/>
            <w:col w:w="8600"/>
          </w:cols>
          <w:pgMar w:left="320" w:top="688" w:right="3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w:t>
      </w:r>
    </w:p>
    <w:p>
      <w:pPr>
        <w:sectPr>
          <w:pgSz w:w="11900" w:h="16838" w:orient="portrait"/>
          <w:cols w:equalWidth="0" w:num="1">
            <w:col w:w="11240"/>
          </w:cols>
          <w:pgMar w:left="320" w:top="688" w:right="339" w:bottom="1440" w:gutter="0" w:footer="0" w:header="0"/>
          <w:type w:val="continuous"/>
        </w:sectPr>
      </w:pPr>
    </w:p>
    <w:p>
      <w:pPr>
        <w:spacing w:after="0" w:line="241" w:lineRule="exact"/>
        <w:rPr>
          <w:sz w:val="20"/>
          <w:szCs w:val="20"/>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 This statement is filed by the entities and persons listed below, who are collectively referred to herein as “</w:t>
      </w:r>
      <w:r>
        <w:rPr>
          <w:rFonts w:ascii="Times New Roman" w:cs="Times New Roman" w:eastAsia="Times New Roman" w:hAnsi="Times New Roman"/>
          <w:sz w:val="18"/>
          <w:szCs w:val="18"/>
          <w:u w:val="single" w:color="auto"/>
          <w:color w:val="auto"/>
        </w:rPr>
        <w:t>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Persons</w:t>
      </w:r>
      <w:r>
        <w:rPr>
          <w:rFonts w:ascii="Times New Roman" w:cs="Times New Roman" w:eastAsia="Times New Roman" w:hAnsi="Times New Roman"/>
          <w:sz w:val="18"/>
          <w:szCs w:val="18"/>
          <w:color w:val="auto"/>
        </w:rPr>
        <w:t>” with respect to the shares of common stock of the Company:</w:t>
      </w:r>
    </w:p>
    <w:p>
      <w:pPr>
        <w:spacing w:after="0" w:line="161"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Statement on Schedule 13G (this “Statement”) is filed by Opaleye, LP (“Opaleye”); Opaleye GP LLC, the general partner of Opaleye, L.P. (“Opaleye GP”); and James Silverman, the manager of Opaleye GP LLC.</w:t>
      </w:r>
    </w:p>
    <w:p>
      <w:pPr>
        <w:spacing w:after="0" w:line="161" w:lineRule="exact"/>
        <w:rPr>
          <w:rFonts w:ascii="Times New Roman" w:cs="Times New Roman" w:eastAsia="Times New Roman" w:hAnsi="Times New Roman"/>
          <w:sz w:val="18"/>
          <w:szCs w:val="18"/>
          <w:color w:val="auto"/>
        </w:rPr>
      </w:pPr>
    </w:p>
    <w:p>
      <w:pPr>
        <w:ind w:left="660" w:right="6780" w:hanging="328"/>
        <w:spacing w:after="0" w:line="419" w:lineRule="auto"/>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 of the Principal Office or, if none, residence One Boston Place, 26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 Boston, MA 02108</w:t>
      </w:r>
    </w:p>
    <w:p>
      <w:pPr>
        <w:spacing w:after="0" w:line="1"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2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Opaleye, L.P. is a Delaware limited partnership. Opaleye GP LLC is a Delaware limited liability company. Mr. Silverman is a United States citizen.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$0.001 par value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 21077P108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3" w:name="page4"/>
    <w:bookmarkEnd w:id="3"/>
    <w:p>
      <w:pPr>
        <w:spacing w:after="0"/>
        <w:tabs>
          <w:tab w:leader="none" w:pos="5460" w:val="left"/>
          <w:tab w:leader="none" w:pos="10020" w:val="left"/>
        </w:tabs>
        <w:rPr>
          <w:sz w:val="20"/>
          <w:szCs w:val="20"/>
          <w:color w:val="auto"/>
        </w:rPr>
      </w:pPr>
      <w:r>
        <w:rPr>
          <w:rFonts w:ascii="Times New Roman" w:cs="Times New Roman" w:eastAsia="Times New Roman" w:hAnsi="Times New Roman"/>
          <w:sz w:val="18"/>
          <w:szCs w:val="18"/>
          <w:color w:val="auto"/>
        </w:rPr>
        <w:t>CUSIP No. 21077P108</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4 of 6 Page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188" w:lineRule="exact"/>
        <w:rPr>
          <w:sz w:val="20"/>
          <w:szCs w:val="20"/>
          <w:color w:val="auto"/>
        </w:rPr>
      </w:pPr>
    </w:p>
    <w:p>
      <w:pPr>
        <w:ind w:left="660" w:hanging="328"/>
        <w:spacing w:after="0" w:line="207" w:lineRule="exact"/>
        <w:tabs>
          <w:tab w:leader="none" w:pos="66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225"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225"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980" w:hanging="648"/>
        <w:spacing w:after="0" w:line="245" w:lineRule="exact"/>
        <w:tabs>
          <w:tab w:leader="none" w:pos="656"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158"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§240.13d-1(b)(1)(ii)(J).</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820,000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5.14%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 820,000</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820,000</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820,000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Instruction</w:t>
      </w:r>
      <w:r>
        <w:rPr>
          <w:rFonts w:ascii="Times New Roman" w:cs="Times New Roman" w:eastAsia="Times New Roman" w:hAnsi="Times New Roman"/>
          <w:sz w:val="18"/>
          <w:szCs w:val="18"/>
          <w:color w:val="auto"/>
        </w:rPr>
        <w:t>. For computations regarding securities that represent a right to acquire an underlying security,</w:t>
      </w:r>
      <w:r>
        <w:rPr>
          <w:rFonts w:ascii="Times New Roman" w:cs="Times New Roman" w:eastAsia="Times New Roman" w:hAnsi="Times New Roman"/>
          <w:sz w:val="18"/>
          <w:szCs w:val="18"/>
          <w:i w:val="1"/>
          <w:iCs w:val="1"/>
          <w:color w:val="auto"/>
        </w:rPr>
        <w:t xml:space="preserve"> see </w:t>
      </w:r>
      <w:r>
        <w:rPr>
          <w:rFonts w:ascii="Times New Roman" w:cs="Times New Roman" w:eastAsia="Times New Roman" w:hAnsi="Times New Roman"/>
          <w:sz w:val="18"/>
          <w:szCs w:val="18"/>
          <w:color w:val="auto"/>
        </w:rPr>
        <w:t>§240.13d-3(d)(1).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Instruction</w:t>
      </w:r>
      <w:r>
        <w:rPr>
          <w:rFonts w:ascii="Times New Roman" w:cs="Times New Roman" w:eastAsia="Times New Roman" w:hAnsi="Times New Roman"/>
          <w:sz w:val="18"/>
          <w:szCs w:val="18"/>
          <w:color w:val="auto"/>
        </w:rPr>
        <w:t>. Dissolution of a group requires a response to this item.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spacing w:after="0"/>
        <w:tabs>
          <w:tab w:leader="none" w:pos="5460" w:val="left"/>
          <w:tab w:leader="none" w:pos="10020" w:val="left"/>
        </w:tabs>
        <w:rPr>
          <w:sz w:val="20"/>
          <w:szCs w:val="20"/>
          <w:color w:val="auto"/>
        </w:rPr>
      </w:pPr>
      <w:r>
        <w:rPr>
          <w:rFonts w:ascii="Times New Roman" w:cs="Times New Roman" w:eastAsia="Times New Roman" w:hAnsi="Times New Roman"/>
          <w:sz w:val="18"/>
          <w:szCs w:val="18"/>
          <w:color w:val="auto"/>
        </w:rPr>
        <w:t>CUSIP No. 21077P108</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5 of 6 Page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jc w:val="center"/>
        <w:ind w:right="9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229"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certification shall be included if the statement is filed pursuant to §240.13d-1(b):</w:t>
      </w:r>
    </w:p>
    <w:p>
      <w:pPr>
        <w:spacing w:after="0" w:line="225" w:lineRule="exact"/>
        <w:rPr>
          <w:rFonts w:ascii="Times New Roman" w:cs="Times New Roman" w:eastAsia="Times New Roman" w:hAnsi="Times New Roman"/>
          <w:sz w:val="18"/>
          <w:szCs w:val="18"/>
          <w:color w:val="auto"/>
        </w:rPr>
      </w:pPr>
    </w:p>
    <w:p>
      <w:pPr>
        <w:jc w:val="both"/>
        <w:ind w:left="66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certification shall be included if the statement is filed pursuant to §240.13d-1(c):</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spacing w:after="0"/>
        <w:tabs>
          <w:tab w:leader="none" w:pos="5460" w:val="left"/>
          <w:tab w:leader="none" w:pos="10020" w:val="left"/>
        </w:tabs>
        <w:rPr>
          <w:sz w:val="20"/>
          <w:szCs w:val="20"/>
          <w:color w:val="auto"/>
        </w:rPr>
      </w:pPr>
      <w:r>
        <w:rPr>
          <w:rFonts w:ascii="Times New Roman" w:cs="Times New Roman" w:eastAsia="Times New Roman" w:hAnsi="Times New Roman"/>
          <w:sz w:val="18"/>
          <w:szCs w:val="18"/>
          <w:color w:val="auto"/>
        </w:rPr>
        <w:t>CUSIP No. 21077P108</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6 of 6 Page</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01/05/2024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 James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James Silverman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Managing Member of Opaleye GP LLC , the General Partner of Opaleye,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507ED7AB"/>
    <w:multiLevelType w:val="hybridMultilevel"/>
    <w:lvl w:ilvl="0">
      <w:lvlJc w:val="left"/>
      <w:lvlText w:val="%1."/>
      <w:numFmt w:val="decimal"/>
      <w:start w:val="10"/>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lvl w:ilvl="1">
      <w:lvlJc w:val="left"/>
      <w:lvlText w:val="(%2)"/>
      <w:numFmt w:val="lowerRoman"/>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2024-01-05T15:10:29Z</dcterms:created>
  <dcterms:modified xsi:type="dcterms:W3CDTF">2024-01-05T15:10:29Z</dcterms:modified>
</cp:coreProperties>
</file>