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549910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575310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2973705</wp:posOffset>
            </wp:positionH>
            <wp:positionV relativeFrom="paragraph">
              <wp:posOffset>55880</wp:posOffset>
            </wp:positionV>
            <wp:extent cx="1194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1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2973705</wp:posOffset>
            </wp:positionH>
            <wp:positionV relativeFrom="paragraph">
              <wp:posOffset>75565</wp:posOffset>
            </wp:positionV>
            <wp:extent cx="11944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211" w:lineRule="exact"/>
        <w:rPr>
          <w:sz w:val="24"/>
          <w:szCs w:val="24"/>
          <w:color w:val="auto"/>
        </w:rPr>
      </w:pPr>
    </w:p>
    <w:p>
      <w:pPr>
        <w:ind w:left="3940" w:right="1980" w:hanging="3778"/>
        <w:spacing w:after="0" w:line="489" w:lineRule="auto"/>
        <w:tabs>
          <w:tab w:leader="none" w:pos="5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4" w:lineRule="exact"/>
        <w:rPr>
          <w:sz w:val="24"/>
          <w:szCs w:val="24"/>
          <w:color w:val="auto"/>
        </w:rPr>
      </w:pPr>
    </w:p>
    <w:p>
      <w:pPr>
        <w:ind w:left="540" w:hanging="378"/>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001-40654</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0"/>
          <w:szCs w:val="30"/>
          <w:b w:val="1"/>
          <w:bCs w:val="1"/>
          <w:color w:val="auto"/>
        </w:rPr>
        <w:t>CONTEXT THERAPEUTICS INC.</w:t>
      </w:r>
    </w:p>
    <w:p>
      <w:pPr>
        <w:spacing w:after="0" w:line="191" w:lineRule="exact"/>
        <w:rPr>
          <w:sz w:val="24"/>
          <w:szCs w:val="24"/>
          <w:color w:val="auto"/>
        </w:rPr>
      </w:pPr>
    </w:p>
    <w:tbl>
      <w:tblPr>
        <w:tblLayout w:type="fixed"/>
        <w:tblInd w:w="66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4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2980" w:type="dxa"/>
            <w:vAlign w:val="bottom"/>
          </w:tcPr>
          <w:p>
            <w:pPr>
              <w:spacing w:after="0"/>
              <w:rPr>
                <w:sz w:val="15"/>
                <w:szCs w:val="15"/>
                <w:color w:val="auto"/>
              </w:rPr>
            </w:pPr>
          </w:p>
        </w:tc>
      </w:tr>
      <w:tr>
        <w:trPr>
          <w:trHeight w:val="252"/>
        </w:trPr>
        <w:tc>
          <w:tcPr>
            <w:tcW w:w="4260" w:type="dxa"/>
            <w:vAlign w:val="bottom"/>
            <w:gridSpan w:val="3"/>
          </w:tcPr>
          <w:p>
            <w:pPr>
              <w:jc w:val="center"/>
              <w:ind w:right="54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20" w:type="dxa"/>
            <w:vAlign w:val="bottom"/>
            <w:gridSpan w:val="4"/>
          </w:tcPr>
          <w:p>
            <w:pPr>
              <w:jc w:val="right"/>
              <w:ind w:right="2624"/>
              <w:spacing w:after="0"/>
              <w:rPr>
                <w:sz w:val="20"/>
                <w:szCs w:val="20"/>
                <w:color w:val="auto"/>
              </w:rPr>
            </w:pPr>
            <w:r>
              <w:rPr>
                <w:rFonts w:ascii="Times New Roman" w:cs="Times New Roman" w:eastAsia="Times New Roman" w:hAnsi="Times New Roman"/>
                <w:sz w:val="18"/>
                <w:szCs w:val="18"/>
                <w:b w:val="1"/>
                <w:bCs w:val="1"/>
                <w:color w:val="auto"/>
              </w:rPr>
              <w:t>86-3738787</w:t>
            </w:r>
          </w:p>
        </w:tc>
      </w:tr>
      <w:tr>
        <w:trPr>
          <w:trHeight w:val="198"/>
        </w:trPr>
        <w:tc>
          <w:tcPr>
            <w:tcW w:w="4260" w:type="dxa"/>
            <w:vAlign w:val="bottom"/>
            <w:gridSpan w:val="3"/>
          </w:tcPr>
          <w:p>
            <w:pPr>
              <w:jc w:val="center"/>
              <w:ind w:right="544"/>
              <w:spacing w:after="0"/>
              <w:rPr>
                <w:sz w:val="20"/>
                <w:szCs w:val="20"/>
                <w:color w:val="auto"/>
              </w:rPr>
            </w:pPr>
            <w:r>
              <w:rPr>
                <w:rFonts w:ascii="Times New Roman" w:cs="Times New Roman" w:eastAsia="Times New Roman" w:hAnsi="Times New Roman"/>
                <w:sz w:val="15"/>
                <w:szCs w:val="15"/>
                <w:color w:val="auto"/>
              </w:rPr>
              <w:t>(State of other jurisdiction of incorporation or organization)</w:t>
            </w:r>
          </w:p>
        </w:tc>
        <w:tc>
          <w:tcPr>
            <w:tcW w:w="800" w:type="dxa"/>
            <w:vAlign w:val="bottom"/>
          </w:tcPr>
          <w:p>
            <w:pPr>
              <w:spacing w:after="0"/>
              <w:rPr>
                <w:sz w:val="17"/>
                <w:szCs w:val="17"/>
                <w:color w:val="auto"/>
              </w:rPr>
            </w:pPr>
          </w:p>
        </w:tc>
        <w:tc>
          <w:tcPr>
            <w:tcW w:w="4820" w:type="dxa"/>
            <w:vAlign w:val="bottom"/>
            <w:gridSpan w:val="3"/>
          </w:tcPr>
          <w:p>
            <w:pPr>
              <w:jc w:val="center"/>
              <w:ind w:right="1384"/>
              <w:spacing w:after="0"/>
              <w:rPr>
                <w:sz w:val="20"/>
                <w:szCs w:val="20"/>
                <w:color w:val="auto"/>
              </w:rPr>
            </w:pPr>
            <w:r>
              <w:rPr>
                <w:rFonts w:ascii="Times New Roman" w:cs="Times New Roman" w:eastAsia="Times New Roman" w:hAnsi="Times New Roman"/>
                <w:sz w:val="15"/>
                <w:szCs w:val="15"/>
                <w:color w:val="auto"/>
              </w:rPr>
              <w:t>(I.R.S. Employer Identification Number)</w:t>
            </w:r>
          </w:p>
        </w:tc>
      </w:tr>
      <w:tr>
        <w:trPr>
          <w:trHeight w:val="435"/>
        </w:trPr>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2001 Market Street, Suite 3915, Unit #15</w:t>
            </w:r>
          </w:p>
        </w:tc>
        <w:tc>
          <w:tcPr>
            <w:tcW w:w="2980" w:type="dxa"/>
            <w:vAlign w:val="bottom"/>
          </w:tcPr>
          <w:p>
            <w:pPr>
              <w:spacing w:after="0"/>
              <w:rPr>
                <w:sz w:val="24"/>
                <w:szCs w:val="24"/>
                <w:color w:val="auto"/>
              </w:rPr>
            </w:pPr>
          </w:p>
        </w:tc>
      </w:tr>
      <w:tr>
        <w:trPr>
          <w:trHeight w:val="186"/>
        </w:trPr>
        <w:tc>
          <w:tcPr>
            <w:tcW w:w="2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4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Philadelphia, Pennsylvania 19103</w:t>
            </w:r>
          </w:p>
        </w:tc>
        <w:tc>
          <w:tcPr>
            <w:tcW w:w="2980" w:type="dxa"/>
            <w:vAlign w:val="bottom"/>
          </w:tcPr>
          <w:p>
            <w:pPr>
              <w:spacing w:after="0"/>
              <w:rPr>
                <w:sz w:val="16"/>
                <w:szCs w:val="16"/>
                <w:color w:val="auto"/>
              </w:rPr>
            </w:pPr>
          </w:p>
        </w:tc>
      </w:tr>
      <w:tr>
        <w:trPr>
          <w:trHeight w:val="217"/>
        </w:trPr>
        <w:tc>
          <w:tcPr>
            <w:tcW w:w="2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40" w:type="dxa"/>
            <w:vAlign w:val="bottom"/>
            <w:gridSpan w:val="4"/>
          </w:tcPr>
          <w:p>
            <w:pPr>
              <w:jc w:val="center"/>
              <w:ind w:right="220"/>
              <w:spacing w:after="0"/>
              <w:rPr>
                <w:sz w:val="20"/>
                <w:szCs w:val="20"/>
                <w:color w:val="auto"/>
              </w:rPr>
            </w:pPr>
            <w:r>
              <w:rPr>
                <w:rFonts w:ascii="Times New Roman" w:cs="Times New Roman" w:eastAsia="Times New Roman" w:hAnsi="Times New Roman"/>
                <w:sz w:val="15"/>
                <w:szCs w:val="15"/>
                <w:color w:val="auto"/>
              </w:rPr>
              <w:t>(Address of principal executive offices, including zip</w:t>
            </w:r>
            <w:r>
              <w:rPr>
                <w:rFonts w:ascii="Times New Roman" w:cs="Times New Roman" w:eastAsia="Times New Roman" w:hAnsi="Times New Roman"/>
                <w:sz w:val="17"/>
                <w:szCs w:val="17"/>
                <w:color w:val="auto"/>
              </w:rPr>
              <w:t>)</w:t>
            </w:r>
          </w:p>
        </w:tc>
        <w:tc>
          <w:tcPr>
            <w:tcW w:w="2980" w:type="dxa"/>
            <w:vAlign w:val="bottom"/>
          </w:tcPr>
          <w:p>
            <w:pPr>
              <w:spacing w:after="0"/>
              <w:rPr>
                <w:sz w:val="18"/>
                <w:szCs w:val="18"/>
                <w:color w:val="auto"/>
              </w:rPr>
            </w:pPr>
          </w:p>
        </w:tc>
      </w:tr>
      <w:tr>
        <w:trPr>
          <w:trHeight w:val="157"/>
        </w:trPr>
        <w:tc>
          <w:tcPr>
            <w:tcW w:w="2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0" w:type="dxa"/>
            <w:vAlign w:val="bottom"/>
            <w:gridSpan w:val="2"/>
          </w:tcPr>
          <w:p>
            <w:pPr>
              <w:jc w:val="center"/>
              <w:ind w:right="524"/>
              <w:spacing w:after="0"/>
              <w:rPr>
                <w:sz w:val="20"/>
                <w:szCs w:val="20"/>
                <w:color w:val="auto"/>
              </w:rPr>
            </w:pPr>
            <w:r>
              <w:rPr>
                <w:rFonts w:ascii="Times New Roman" w:cs="Times New Roman" w:eastAsia="Times New Roman" w:hAnsi="Times New Roman"/>
                <w:sz w:val="13"/>
                <w:szCs w:val="13"/>
                <w:b w:val="1"/>
                <w:bCs w:val="1"/>
                <w:color w:val="auto"/>
              </w:rPr>
              <w:t>(267) 225-7416</w:t>
            </w:r>
          </w:p>
        </w:tc>
        <w:tc>
          <w:tcPr>
            <w:tcW w:w="640" w:type="dxa"/>
            <w:vAlign w:val="bottom"/>
          </w:tcPr>
          <w:p>
            <w:pPr>
              <w:spacing w:after="0"/>
              <w:rPr>
                <w:sz w:val="13"/>
                <w:szCs w:val="13"/>
                <w:color w:val="auto"/>
              </w:rPr>
            </w:pPr>
          </w:p>
        </w:tc>
        <w:tc>
          <w:tcPr>
            <w:tcW w:w="2980" w:type="dxa"/>
            <w:vAlign w:val="bottom"/>
          </w:tcPr>
          <w:p>
            <w:pPr>
              <w:spacing w:after="0"/>
              <w:rPr>
                <w:sz w:val="13"/>
                <w:szCs w:val="13"/>
                <w:color w:val="auto"/>
              </w:rPr>
            </w:pPr>
          </w:p>
        </w:tc>
      </w:tr>
      <w:tr>
        <w:trPr>
          <w:trHeight w:val="202"/>
        </w:trPr>
        <w:tc>
          <w:tcPr>
            <w:tcW w:w="2040" w:type="dxa"/>
            <w:vAlign w:val="bottom"/>
          </w:tcPr>
          <w:p>
            <w:pPr>
              <w:spacing w:after="0"/>
              <w:rPr>
                <w:sz w:val="17"/>
                <w:szCs w:val="17"/>
                <w:color w:val="auto"/>
              </w:rPr>
            </w:pPr>
          </w:p>
        </w:tc>
        <w:tc>
          <w:tcPr>
            <w:tcW w:w="4860" w:type="dxa"/>
            <w:vAlign w:val="bottom"/>
            <w:gridSpan w:val="5"/>
          </w:tcPr>
          <w:p>
            <w:pPr>
              <w:jc w:val="center"/>
              <w:ind w:left="904"/>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w:t>
            </w:r>
          </w:p>
        </w:tc>
        <w:tc>
          <w:tcPr>
            <w:tcW w:w="2980" w:type="dxa"/>
            <w:vAlign w:val="bottom"/>
          </w:tcPr>
          <w:p>
            <w:pPr>
              <w:spacing w:after="0"/>
              <w:rPr>
                <w:sz w:val="17"/>
                <w:szCs w:val="17"/>
                <w:color w:val="auto"/>
              </w:rPr>
            </w:pPr>
          </w:p>
        </w:tc>
      </w:tr>
      <w:tr>
        <w:trPr>
          <w:trHeight w:val="390"/>
        </w:trPr>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20" w:type="dxa"/>
            <w:vAlign w:val="bottom"/>
            <w:gridSpan w:val="5"/>
          </w:tcPr>
          <w:p>
            <w:pPr>
              <w:ind w:left="24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r>
      <w:tr>
        <w:trPr>
          <w:trHeight w:val="169"/>
        </w:trPr>
        <w:tc>
          <w:tcPr>
            <w:tcW w:w="204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rPr>
              <w:t>Title of Each Class</w:t>
            </w:r>
          </w:p>
        </w:tc>
        <w:tc>
          <w:tcPr>
            <w:tcW w:w="1000" w:type="dxa"/>
            <w:vAlign w:val="bottom"/>
          </w:tcPr>
          <w:p>
            <w:pPr>
              <w:spacing w:after="0"/>
              <w:rPr>
                <w:sz w:val="14"/>
                <w:szCs w:val="14"/>
                <w:color w:val="auto"/>
              </w:rPr>
            </w:pPr>
          </w:p>
        </w:tc>
        <w:tc>
          <w:tcPr>
            <w:tcW w:w="2640" w:type="dxa"/>
            <w:vAlign w:val="bottom"/>
            <w:gridSpan w:val="3"/>
          </w:tcPr>
          <w:p>
            <w:pPr>
              <w:jc w:val="center"/>
              <w:ind w:left="82"/>
              <w:spacing w:after="0" w:line="169" w:lineRule="exact"/>
              <w:rPr>
                <w:sz w:val="20"/>
                <w:szCs w:val="20"/>
                <w:color w:val="auto"/>
              </w:rPr>
            </w:pPr>
            <w:r>
              <w:rPr>
                <w:rFonts w:ascii="Times New Roman" w:cs="Times New Roman" w:eastAsia="Times New Roman" w:hAnsi="Times New Roman"/>
                <w:sz w:val="15"/>
                <w:szCs w:val="15"/>
                <w:b w:val="1"/>
                <w:bCs w:val="1"/>
                <w:color w:val="auto"/>
                <w:w w:val="99"/>
              </w:rPr>
              <w:t>Trading Symbol(s)</w:t>
            </w:r>
          </w:p>
        </w:tc>
        <w:tc>
          <w:tcPr>
            <w:tcW w:w="298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2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r>
      <w:tr>
        <w:trPr>
          <w:trHeight w:val="214"/>
        </w:trPr>
        <w:tc>
          <w:tcPr>
            <w:tcW w:w="4260" w:type="dxa"/>
            <w:vAlign w:val="bottom"/>
            <w:gridSpan w:val="3"/>
          </w:tcPr>
          <w:p>
            <w:pPr>
              <w:jc w:val="center"/>
              <w:ind w:left="939"/>
              <w:spacing w:after="0"/>
              <w:rPr>
                <w:sz w:val="20"/>
                <w:szCs w:val="20"/>
                <w:color w:val="auto"/>
              </w:rPr>
            </w:pPr>
            <w:r>
              <w:rPr>
                <w:rFonts w:ascii="Times New Roman" w:cs="Times New Roman" w:eastAsia="Times New Roman" w:hAnsi="Times New Roman"/>
                <w:sz w:val="15"/>
                <w:szCs w:val="15"/>
                <w:color w:val="auto"/>
              </w:rPr>
              <w:t>Common Stock, par value $0.001 per share</w:t>
            </w:r>
          </w:p>
        </w:tc>
        <w:tc>
          <w:tcPr>
            <w:tcW w:w="800" w:type="dxa"/>
            <w:vAlign w:val="bottom"/>
          </w:tcPr>
          <w:p>
            <w:pPr>
              <w:spacing w:after="0"/>
              <w:rPr>
                <w:sz w:val="18"/>
                <w:szCs w:val="18"/>
                <w:color w:val="auto"/>
              </w:rPr>
            </w:pPr>
          </w:p>
        </w:tc>
        <w:tc>
          <w:tcPr>
            <w:tcW w:w="1840" w:type="dxa"/>
            <w:vAlign w:val="bottom"/>
            <w:gridSpan w:val="2"/>
          </w:tcPr>
          <w:p>
            <w:pPr>
              <w:jc w:val="center"/>
              <w:ind w:right="640"/>
              <w:spacing w:after="0"/>
              <w:rPr>
                <w:sz w:val="20"/>
                <w:szCs w:val="20"/>
                <w:color w:val="auto"/>
              </w:rPr>
            </w:pPr>
            <w:r>
              <w:rPr>
                <w:rFonts w:ascii="Times New Roman" w:cs="Times New Roman" w:eastAsia="Times New Roman" w:hAnsi="Times New Roman"/>
                <w:sz w:val="15"/>
                <w:szCs w:val="15"/>
                <w:color w:val="auto"/>
                <w:w w:val="97"/>
              </w:rPr>
              <w:t>CNTX</w:t>
            </w:r>
          </w:p>
        </w:tc>
        <w:tc>
          <w:tcPr>
            <w:tcW w:w="2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r>
    </w:tbl>
    <w:p>
      <w:pPr>
        <w:spacing w:after="0" w:line="18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51" w:lineRule="exact"/>
        <w:rPr>
          <w:sz w:val="24"/>
          <w:szCs w:val="24"/>
          <w:color w:val="auto"/>
        </w:rPr>
      </w:pPr>
    </w:p>
    <w:p>
      <w:pPr>
        <w:ind w:right="3740"/>
        <w:spacing w:after="0" w:line="302"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No </w:t>
      </w:r>
      <w:r>
        <w:rPr>
          <w:rFonts w:ascii="MS PGothic" w:cs="MS PGothic" w:eastAsia="MS PGothic" w:hAnsi="MS PGothic"/>
          <w:sz w:val="14"/>
          <w:szCs w:val="14"/>
          <w:color w:val="auto"/>
        </w:rPr>
        <w:t>☒</w:t>
      </w:r>
    </w:p>
    <w:p>
      <w:pPr>
        <w:spacing w:after="0" w:line="126" w:lineRule="exact"/>
        <w:rPr>
          <w:sz w:val="24"/>
          <w:szCs w:val="24"/>
          <w:color w:val="auto"/>
        </w:rPr>
      </w:pPr>
    </w:p>
    <w:p>
      <w:pPr>
        <w:ind w:right="100"/>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67" w:lineRule="exact"/>
        <w:rPr>
          <w:sz w:val="24"/>
          <w:szCs w:val="24"/>
          <w:color w:val="auto"/>
        </w:rPr>
      </w:pPr>
    </w:p>
    <w:p>
      <w:pPr>
        <w:ind w:right="120"/>
        <w:spacing w:after="0" w:line="22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54"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8"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84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208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84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20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1"/>
        </w:trPr>
        <w:tc>
          <w:tcPr>
            <w:tcW w:w="19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160" w:type="dxa"/>
            <w:vAlign w:val="bottom"/>
          </w:tcPr>
          <w:p>
            <w:pPr>
              <w:ind w:left="20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34" w:lineRule="exact"/>
        <w:rPr>
          <w:sz w:val="24"/>
          <w:szCs w:val="24"/>
          <w:color w:val="auto"/>
        </w:rPr>
      </w:pPr>
    </w:p>
    <w:p>
      <w:pPr>
        <w:ind w:right="20"/>
        <w:spacing w:after="0" w:line="337"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5" w:lineRule="exact"/>
        <w:rPr>
          <w:sz w:val="24"/>
          <w:szCs w:val="24"/>
          <w:color w:val="auto"/>
        </w:rPr>
      </w:pPr>
    </w:p>
    <w:p>
      <w:pPr>
        <w:ind w:right="100"/>
        <w:spacing w:after="0" w:line="297"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12" w:lineRule="exact"/>
        <w:rPr>
          <w:sz w:val="24"/>
          <w:szCs w:val="24"/>
          <w:color w:val="auto"/>
        </w:rPr>
      </w:pPr>
    </w:p>
    <w:p>
      <w:pPr>
        <w:ind w:right="160"/>
        <w:spacing w:after="0" w:line="277" w:lineRule="auto"/>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93" w:lineRule="exact"/>
        <w:rPr>
          <w:sz w:val="24"/>
          <w:szCs w:val="24"/>
          <w:color w:val="auto"/>
        </w:rPr>
      </w:pPr>
    </w:p>
    <w:p>
      <w:pPr>
        <w:ind w:right="320"/>
        <w:spacing w:after="0" w:line="277"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94" w:lineRule="exact"/>
        <w:rPr>
          <w:sz w:val="24"/>
          <w:szCs w:val="24"/>
          <w:color w:val="auto"/>
        </w:rPr>
      </w:pPr>
    </w:p>
    <w:p>
      <w:pPr>
        <w:spacing w:after="0" w:line="161" w:lineRule="exact"/>
        <w:tabs>
          <w:tab w:leader="none" w:pos="64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11" w:lineRule="exact"/>
        <w:rPr>
          <w:sz w:val="24"/>
          <w:szCs w:val="24"/>
          <w:color w:val="auto"/>
        </w:rPr>
      </w:pPr>
    </w:p>
    <w:p>
      <w:pPr>
        <w:ind w:right="80"/>
        <w:spacing w:after="0" w:line="303" w:lineRule="auto"/>
        <w:rPr>
          <w:sz w:val="20"/>
          <w:szCs w:val="20"/>
          <w:color w:val="auto"/>
        </w:rPr>
      </w:pPr>
      <w:r>
        <w:rPr>
          <w:rFonts w:ascii="Times New Roman" w:cs="Times New Roman" w:eastAsia="Times New Roman" w:hAnsi="Times New Roman"/>
          <w:sz w:val="18"/>
          <w:szCs w:val="18"/>
          <w:color w:val="auto"/>
        </w:rPr>
        <w:t>As of June 30, 2025 (the last business day of the registrant's most recently completed second fiscal quarter), the aggregate market value of the registrant's common stock held by non-affiliates was approximately $57.9 million based on the last reported sale price of the registrant's common stock on The Nasdaq Stock Market on June 30, 2025.</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March 19, 2026, the registrant had 91,879,177 shares of common stock, $0.001 par value per share, outstanding.</w:t>
      </w: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14" w:lineRule="exact"/>
        <w:rPr>
          <w:sz w:val="24"/>
          <w:szCs w:val="24"/>
          <w:color w:val="auto"/>
        </w:rPr>
      </w:pPr>
    </w:p>
    <w:p>
      <w:pPr>
        <w:jc w:val="both"/>
        <w:ind w:right="840"/>
        <w:spacing w:after="0" w:line="303"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2026 Annual Meeting of Stockholders to be filed with the Securities and Exchange Commission pursuant to Regulation 14A not later than 120 days after the end of the fiscal year covered by this Annual Report on Form 10-K are incorporated by reference in Part III, Items 10-14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7132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136525</wp:posOffset>
            </wp:positionV>
            <wp:extent cx="7132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991" w:right="35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247015</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88"/>
        </w:trPr>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960" w:type="dxa"/>
            <w:vAlign w:val="bottom"/>
            <w:tcBorders>
              <w:right w:val="single" w:sz="8" w:color="auto"/>
            </w:tcBorders>
            <w:gridSpan w:val="36"/>
          </w:tcPr>
          <w:p>
            <w:pPr>
              <w:spacing w:after="0" w:line="182" w:lineRule="exact"/>
              <w:rPr>
                <w:sz w:val="20"/>
                <w:szCs w:val="20"/>
                <w:color w:val="auto"/>
              </w:rPr>
            </w:pPr>
            <w:r>
              <w:rPr>
                <w:rFonts w:ascii="Times New Roman" w:cs="Times New Roman" w:eastAsia="Times New Roman" w:hAnsi="Times New Roman"/>
                <w:sz w:val="18"/>
                <w:szCs w:val="18"/>
                <w:color w:val="0000FF"/>
              </w:rPr>
              <w:t>Risk Factor Summary</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right w:val="single" w:sz="8" w:color="auto"/>
            </w:tcBorders>
            <w:gridSpan w:val="4"/>
          </w:tcPr>
          <w:p>
            <w:pPr>
              <w:jc w:val="center"/>
              <w:ind w:right="220"/>
              <w:spacing w:after="0" w:line="182" w:lineRule="exact"/>
              <w:rPr>
                <w:sz w:val="20"/>
                <w:szCs w:val="20"/>
                <w:color w:val="auto"/>
              </w:rPr>
            </w:pPr>
            <w:r>
              <w:rPr>
                <w:rFonts w:ascii="Times New Roman" w:cs="Times New Roman" w:eastAsia="Times New Roman" w:hAnsi="Times New Roman"/>
                <w:sz w:val="18"/>
                <w:szCs w:val="18"/>
                <w:color w:val="0000FF"/>
                <w:w w:val="99"/>
              </w:rPr>
              <w:t>ii</w:t>
            </w: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960" w:type="dxa"/>
            <w:vAlign w:val="bottom"/>
            <w:tcBorders>
              <w:right w:val="single" w:sz="8" w:color="auto"/>
            </w:tcBorders>
            <w:gridSpan w:val="36"/>
          </w:tcPr>
          <w:p>
            <w:pPr>
              <w:spacing w:after="0" w:line="182" w:lineRule="exact"/>
              <w:rPr>
                <w:sz w:val="20"/>
                <w:szCs w:val="20"/>
                <w:color w:val="auto"/>
              </w:rPr>
            </w:pPr>
            <w:r>
              <w:rPr>
                <w:rFonts w:ascii="Times New Roman" w:cs="Times New Roman" w:eastAsia="Times New Roman" w:hAnsi="Times New Roman"/>
                <w:sz w:val="18"/>
                <w:szCs w:val="18"/>
                <w:color w:val="0000FF"/>
              </w:rPr>
              <w:t>Note Regarding Forward-Looking Statements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right w:val="single" w:sz="8" w:color="auto"/>
            </w:tcBorders>
            <w:gridSpan w:val="5"/>
          </w:tcPr>
          <w:p>
            <w:pPr>
              <w:jc w:val="center"/>
              <w:ind w:right="200"/>
              <w:spacing w:after="0" w:line="182" w:lineRule="exact"/>
              <w:rPr>
                <w:sz w:val="20"/>
                <w:szCs w:val="20"/>
                <w:color w:val="auto"/>
              </w:rPr>
            </w:pPr>
            <w:r>
              <w:rPr>
                <w:rFonts w:ascii="Times New Roman" w:cs="Times New Roman" w:eastAsia="Times New Roman" w:hAnsi="Times New Roman"/>
                <w:sz w:val="18"/>
                <w:szCs w:val="18"/>
                <w:color w:val="0000FF"/>
                <w:w w:val="99"/>
              </w:rPr>
              <w:t>iv</w:t>
            </w: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960" w:type="dxa"/>
            <w:vAlign w:val="bottom"/>
            <w:tcBorders>
              <w:right w:val="single" w:sz="8" w:color="auto"/>
            </w:tcBorders>
            <w:gridSpan w:val="36"/>
          </w:tcPr>
          <w:p>
            <w:pPr>
              <w:spacing w:after="0" w:line="182" w:lineRule="exact"/>
              <w:rPr>
                <w:sz w:val="20"/>
                <w:szCs w:val="20"/>
                <w:color w:val="auto"/>
              </w:rPr>
            </w:pPr>
            <w:r>
              <w:rPr>
                <w:rFonts w:ascii="Times New Roman" w:cs="Times New Roman" w:eastAsia="Times New Roman" w:hAnsi="Times New Roman"/>
                <w:sz w:val="18"/>
                <w:szCs w:val="18"/>
                <w:color w:val="0000FF"/>
              </w:rPr>
              <w:t>Market, Industry and Other Data</w:t>
            </w:r>
          </w:p>
        </w:tc>
        <w:tc>
          <w:tcPr>
            <w:tcW w:w="160" w:type="dxa"/>
            <w:vAlign w:val="bottom"/>
          </w:tcPr>
          <w:p>
            <w:pPr>
              <w:spacing w:after="0"/>
              <w:rPr>
                <w:sz w:val="15"/>
                <w:szCs w:val="15"/>
                <w:color w:val="auto"/>
              </w:rPr>
            </w:pPr>
          </w:p>
        </w:tc>
        <w:tc>
          <w:tcPr>
            <w:tcW w:w="360" w:type="dxa"/>
            <w:vAlign w:val="bottom"/>
            <w:tcBorders>
              <w:right w:val="single" w:sz="8" w:color="auto"/>
            </w:tcBorders>
            <w:gridSpan w:val="6"/>
          </w:tcPr>
          <w:p>
            <w:pPr>
              <w:jc w:val="center"/>
              <w:ind w:right="180"/>
              <w:spacing w:after="0" w:line="182" w:lineRule="exact"/>
              <w:rPr>
                <w:sz w:val="20"/>
                <w:szCs w:val="20"/>
                <w:color w:val="auto"/>
              </w:rPr>
            </w:pPr>
            <w:r>
              <w:rPr>
                <w:rFonts w:ascii="Times New Roman" w:cs="Times New Roman" w:eastAsia="Times New Roman" w:hAnsi="Times New Roman"/>
                <w:sz w:val="18"/>
                <w:szCs w:val="18"/>
                <w:color w:val="0000FF"/>
                <w:w w:val="94"/>
              </w:rPr>
              <w:t>vii</w:t>
            </w: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4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960" w:type="dxa"/>
            <w:vAlign w:val="bottom"/>
            <w:tcBorders>
              <w:right w:val="single" w:sz="8" w:color="auto"/>
            </w:tcBorders>
            <w:gridSpan w:val="36"/>
          </w:tcPr>
          <w:p>
            <w:pPr>
              <w:spacing w:after="0" w:line="182" w:lineRule="exact"/>
              <w:rPr>
                <w:sz w:val="20"/>
                <w:szCs w:val="20"/>
                <w:color w:val="auto"/>
              </w:rPr>
            </w:pPr>
            <w:r>
              <w:rPr>
                <w:rFonts w:ascii="Times New Roman" w:cs="Times New Roman" w:eastAsia="Times New Roman" w:hAnsi="Times New Roman"/>
                <w:sz w:val="18"/>
                <w:szCs w:val="18"/>
                <w:color w:val="0000FF"/>
              </w:rPr>
              <w:t>Part I</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1. Business</w:t>
            </w:r>
          </w:p>
        </w:tc>
        <w:tc>
          <w:tcPr>
            <w:tcW w:w="300" w:type="dxa"/>
            <w:vAlign w:val="bottom"/>
            <w:gridSpan w:val="4"/>
          </w:tcPr>
          <w:p>
            <w:pPr>
              <w:jc w:val="center"/>
              <w:ind w:left="110"/>
              <w:spacing w:after="0" w:line="182"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1A. Risk Factors</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21</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1B. Unresolved Staff Comments</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58</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1C. Cybersecurity</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58</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2. Properties</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59</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3. Legal Proceedings</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59</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59</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920" w:type="dxa"/>
            <w:vAlign w:val="bottom"/>
            <w:tcBorders>
              <w:right w:val="single" w:sz="8" w:color="auto"/>
            </w:tcBorders>
            <w:gridSpan w:val="35"/>
          </w:tcPr>
          <w:p>
            <w:pPr>
              <w:spacing w:after="0" w:line="182" w:lineRule="exact"/>
              <w:rPr>
                <w:sz w:val="20"/>
                <w:szCs w:val="20"/>
                <w:color w:val="auto"/>
              </w:rPr>
            </w:pPr>
            <w:r>
              <w:rPr>
                <w:rFonts w:ascii="Times New Roman" w:cs="Times New Roman" w:eastAsia="Times New Roman" w:hAnsi="Times New Roman"/>
                <w:sz w:val="18"/>
                <w:szCs w:val="18"/>
                <w:color w:val="0000FF"/>
              </w:rPr>
              <w:t>Part II</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60</w:t>
            </w:r>
          </w:p>
        </w:tc>
        <w:tc>
          <w:tcPr>
            <w:tcW w:w="180" w:type="dxa"/>
            <w:vAlign w:val="bottom"/>
            <w:tcBorders>
              <w:right w:val="single" w:sz="8" w:color="auto"/>
            </w:tcBorders>
          </w:tcPr>
          <w:p>
            <w:pPr>
              <w:spacing w:after="0"/>
              <w:rPr>
                <w:sz w:val="15"/>
                <w:szCs w:val="15"/>
                <w:color w:val="auto"/>
              </w:rPr>
            </w:pPr>
          </w:p>
        </w:tc>
      </w:tr>
      <w:tr>
        <w:trPr>
          <w:trHeight w:val="155"/>
        </w:trPr>
        <w:tc>
          <w:tcPr>
            <w:tcW w:w="40" w:type="dxa"/>
            <w:vAlign w:val="bottom"/>
            <w:tcBorders>
              <w:lef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100" w:type="dxa"/>
            <w:vAlign w:val="bottom"/>
            <w:tcBorders>
              <w:top w:val="single" w:sz="8" w:color="0000FF"/>
            </w:tcBorders>
            <w:gridSpan w:val="29"/>
          </w:tcPr>
          <w:p>
            <w:pPr>
              <w:spacing w:after="0" w:line="154" w:lineRule="exact"/>
              <w:rPr>
                <w:sz w:val="20"/>
                <w:szCs w:val="20"/>
                <w:color w:val="auto"/>
              </w:rPr>
            </w:pPr>
            <w:r>
              <w:rPr>
                <w:rFonts w:ascii="Times New Roman" w:cs="Times New Roman" w:eastAsia="Times New Roman" w:hAnsi="Times New Roman"/>
                <w:sz w:val="17"/>
                <w:szCs w:val="17"/>
                <w:color w:val="0000FF"/>
              </w:rPr>
              <w:t>of Equity Securities</w:t>
            </w:r>
          </w:p>
        </w:tc>
        <w:tc>
          <w:tcPr>
            <w:tcW w:w="1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7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6. [Reserved]</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60</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61</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70</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71</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92</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9A. Controls and Procedures</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92</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9B. Other Information</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93</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93</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920" w:type="dxa"/>
            <w:vAlign w:val="bottom"/>
            <w:tcBorders>
              <w:right w:val="single" w:sz="8" w:color="auto"/>
            </w:tcBorders>
            <w:gridSpan w:val="35"/>
          </w:tcPr>
          <w:p>
            <w:pPr>
              <w:spacing w:after="0" w:line="182" w:lineRule="exact"/>
              <w:rPr>
                <w:sz w:val="20"/>
                <w:szCs w:val="20"/>
                <w:color w:val="auto"/>
              </w:rPr>
            </w:pPr>
            <w:r>
              <w:rPr>
                <w:rFonts w:ascii="Times New Roman" w:cs="Times New Roman" w:eastAsia="Times New Roman" w:hAnsi="Times New Roman"/>
                <w:sz w:val="18"/>
                <w:szCs w:val="18"/>
                <w:color w:val="0000FF"/>
              </w:rPr>
              <w:t>Part III</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94</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11. Executive Compensation</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94</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94</w:t>
            </w:r>
          </w:p>
        </w:tc>
        <w:tc>
          <w:tcPr>
            <w:tcW w:w="180" w:type="dxa"/>
            <w:vAlign w:val="bottom"/>
            <w:tcBorders>
              <w:right w:val="single" w:sz="8" w:color="auto"/>
            </w:tcBorders>
          </w:tcPr>
          <w:p>
            <w:pPr>
              <w:spacing w:after="0"/>
              <w:rPr>
                <w:sz w:val="15"/>
                <w:szCs w:val="15"/>
                <w:color w:val="auto"/>
              </w:rPr>
            </w:pPr>
          </w:p>
        </w:tc>
      </w:tr>
      <w:tr>
        <w:trPr>
          <w:trHeight w:val="155"/>
        </w:trPr>
        <w:tc>
          <w:tcPr>
            <w:tcW w:w="40" w:type="dxa"/>
            <w:vAlign w:val="bottom"/>
            <w:tcBorders>
              <w:lef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80" w:type="dxa"/>
            <w:vAlign w:val="bottom"/>
            <w:tcBorders>
              <w:top w:val="single" w:sz="8" w:color="0000FF"/>
            </w:tcBorders>
            <w:gridSpan w:val="26"/>
          </w:tcPr>
          <w:p>
            <w:pPr>
              <w:spacing w:after="0" w:line="154" w:lineRule="exact"/>
              <w:rPr>
                <w:sz w:val="20"/>
                <w:szCs w:val="20"/>
                <w:color w:val="auto"/>
              </w:rPr>
            </w:pPr>
            <w:r>
              <w:rPr>
                <w:rFonts w:ascii="Times New Roman" w:cs="Times New Roman" w:eastAsia="Times New Roman" w:hAnsi="Times New Roman"/>
                <w:sz w:val="17"/>
                <w:szCs w:val="17"/>
                <w:color w:val="0000FF"/>
              </w:rPr>
              <w:t>Stockholder Matters</w:t>
            </w:r>
          </w:p>
        </w:tc>
        <w:tc>
          <w:tcPr>
            <w:tcW w:w="880" w:type="dxa"/>
            <w:vAlign w:val="bottom"/>
            <w:tcBorders>
              <w:right w:val="single" w:sz="8" w:color="auto"/>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7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94</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94</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920" w:type="dxa"/>
            <w:vAlign w:val="bottom"/>
            <w:tcBorders>
              <w:right w:val="single" w:sz="8" w:color="auto"/>
            </w:tcBorders>
            <w:gridSpan w:val="35"/>
          </w:tcPr>
          <w:p>
            <w:pPr>
              <w:spacing w:after="0" w:line="182" w:lineRule="exact"/>
              <w:rPr>
                <w:sz w:val="20"/>
                <w:szCs w:val="20"/>
                <w:color w:val="auto"/>
              </w:rPr>
            </w:pPr>
            <w:r>
              <w:rPr>
                <w:rFonts w:ascii="Times New Roman" w:cs="Times New Roman" w:eastAsia="Times New Roman" w:hAnsi="Times New Roman"/>
                <w:sz w:val="18"/>
                <w:szCs w:val="18"/>
                <w:color w:val="0000FF"/>
              </w:rPr>
              <w:t>Part IV</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95</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60" w:type="dxa"/>
            <w:vAlign w:val="bottom"/>
            <w:tcBorders>
              <w:right w:val="single" w:sz="8" w:color="auto"/>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Item 16. Form 10-K Summary</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98</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920" w:type="dxa"/>
            <w:vAlign w:val="bottom"/>
            <w:tcBorders>
              <w:right w:val="single" w:sz="8" w:color="auto"/>
            </w:tcBorders>
            <w:gridSpan w:val="35"/>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340" w:type="dxa"/>
            <w:vAlign w:val="bottom"/>
            <w:gridSpan w:val="6"/>
          </w:tcPr>
          <w:p>
            <w:pPr>
              <w:jc w:val="center"/>
              <w:ind w:left="70"/>
              <w:spacing w:after="0" w:line="182" w:lineRule="exact"/>
              <w:rPr>
                <w:sz w:val="20"/>
                <w:szCs w:val="20"/>
                <w:color w:val="auto"/>
              </w:rPr>
            </w:pPr>
            <w:r>
              <w:rPr>
                <w:rFonts w:ascii="Times New Roman" w:cs="Times New Roman" w:eastAsia="Times New Roman" w:hAnsi="Times New Roman"/>
                <w:sz w:val="18"/>
                <w:szCs w:val="18"/>
                <w:color w:val="0000FF"/>
                <w:w w:val="99"/>
              </w:rPr>
              <w:t>99</w:t>
            </w:r>
          </w:p>
        </w:tc>
        <w:tc>
          <w:tcPr>
            <w:tcW w:w="180" w:type="dxa"/>
            <w:vAlign w:val="bottom"/>
            <w:tcBorders>
              <w:right w:val="single" w:sz="8" w:color="auto"/>
            </w:tcBorders>
          </w:tcPr>
          <w:p>
            <w:pPr>
              <w:spacing w:after="0"/>
              <w:rPr>
                <w:sz w:val="15"/>
                <w:szCs w:val="15"/>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6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Form 10-K to "Context," the "Company," "we," "us," and "our" refer to Context Therapeutics Inc. and its subsidiaries.</w:t>
      </w: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Trademark Notice</w:t>
      </w:r>
    </w:p>
    <w:p>
      <w:pPr>
        <w:spacing w:after="0" w:line="16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This Form 10-K contains references to our trademarks and to trademarks belonging to other entities. Context Therapeutics® is a registered trademark of Context in the United States. All other trademarks, trade names and service marks appearing in this Form 10-K are the property of their respective owners. We do not intend our use or</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211455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3" w:name="page4"/>
    <w:bookmarkEnd w:id="3"/>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display of other companies' trade names or trademarks to imply a relationship with, or endorsement or sponsorship of us by, any other companies.</w:t>
      </w:r>
    </w:p>
    <w:p>
      <w:pPr>
        <w:spacing w:after="0" w:line="16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The risk factors summarized below could materially harm our business, operating results and/or financial condition, impair our future prospects and/or cause the price of our common stock to decline. For more information, see “Item 1A. Risk Factors” in this Annual Report on Form 10-K for the year ended December 31, 2025. Material risks that may affect our business, operating results and financial condition include, but are not necessarily limited to, the following: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7" w:lineRule="exact"/>
        <w:rPr>
          <w:sz w:val="20"/>
          <w:szCs w:val="20"/>
          <w:color w:val="auto"/>
        </w:rPr>
      </w:pPr>
    </w:p>
    <w:p>
      <w:pPr>
        <w:ind w:left="640" w:hanging="310"/>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We have never been profitable and may never achieve or maintain profitability.</w:t>
      </w:r>
    </w:p>
    <w:p>
      <w:pPr>
        <w:spacing w:after="0" w:line="10" w:lineRule="exact"/>
        <w:rPr>
          <w:rFonts w:ascii="Arial" w:cs="Arial" w:eastAsia="Arial" w:hAnsi="Arial"/>
          <w:sz w:val="20"/>
          <w:szCs w:val="20"/>
          <w:color w:val="auto"/>
        </w:rPr>
      </w:pPr>
    </w:p>
    <w:p>
      <w:pPr>
        <w:ind w:left="660" w:right="260" w:hanging="330"/>
        <w:spacing w:after="0" w:line="232" w:lineRule="auto"/>
        <w:tabs>
          <w:tab w:leader="none" w:pos="65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1" w:lineRule="exact"/>
        <w:rPr>
          <w:rFonts w:ascii="Times New Roman" w:cs="Times New Roman" w:eastAsia="Times New Roman" w:hAnsi="Times New Roman"/>
          <w:sz w:val="21"/>
          <w:szCs w:val="21"/>
          <w:color w:val="auto"/>
        </w:rPr>
      </w:pPr>
    </w:p>
    <w:p>
      <w:pPr>
        <w:ind w:left="660" w:right="180" w:hanging="330"/>
        <w:spacing w:after="0" w:line="229"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If we are unable to raise substantial additional capital on acceptable terms, or at all, we may be forced to delay, reduce or eliminate some or all of our research programs, product development activities and commercialization efforts.</w:t>
      </w:r>
    </w:p>
    <w:p>
      <w:pPr>
        <w:ind w:left="640" w:hanging="310"/>
        <w:spacing w:after="0" w:line="218" w:lineRule="auto"/>
        <w:tabs>
          <w:tab w:leader="none" w:pos="64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may not be able to successfully integrate recent and future acquisitions.</w:t>
      </w:r>
    </w:p>
    <w:p>
      <w:pPr>
        <w:ind w:left="660" w:hanging="330"/>
        <w:spacing w:after="0"/>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evaluate our current business and future prospects and may increase the risk of your investment.</w:t>
      </w:r>
    </w:p>
    <w:p>
      <w:pPr>
        <w:spacing w:after="0" w:line="1" w:lineRule="exact"/>
        <w:rPr>
          <w:rFonts w:ascii="Times New Roman" w:cs="Times New Roman" w:eastAsia="Times New Roman" w:hAnsi="Times New Roman"/>
          <w:sz w:val="18"/>
          <w:szCs w:val="18"/>
          <w:color w:val="auto"/>
        </w:rPr>
      </w:pPr>
    </w:p>
    <w:p>
      <w:pPr>
        <w:ind w:left="660" w:right="260" w:hanging="330"/>
        <w:spacing w:after="0" w:line="229"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We may expend our limited resources pursuing particular research programs or product candidates that may be less successful or profitable than other programs or product candidates.</w:t>
      </w: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foreign exchange rates could increase our operating expenses and adversely affect our results of operations.</w:t>
      </w:r>
    </w:p>
    <w:p>
      <w:pPr>
        <w:spacing w:after="0" w:line="6" w:lineRule="exact"/>
        <w:rPr>
          <w:rFonts w:ascii="Times New Roman" w:cs="Times New Roman" w:eastAsia="Times New Roman" w:hAnsi="Times New Roman"/>
          <w:sz w:val="18"/>
          <w:szCs w:val="18"/>
          <w:color w:val="auto"/>
        </w:rPr>
      </w:pPr>
    </w:p>
    <w:p>
      <w:pPr>
        <w:ind w:left="660" w:right="120" w:hanging="330"/>
        <w:spacing w:after="0" w:line="24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geopolitical developments, global supply chain disruptions and public health concerns could adversely affect our business and results of operations.</w:t>
      </w:r>
    </w:p>
    <w:p>
      <w:pPr>
        <w:ind w:left="660" w:right="580" w:hanging="330"/>
        <w:spacing w:after="0" w:line="23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policy, including the imposition of tariffs and the resulting consequences, may have a material adverse impact on our business, financial condition, and results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Candidates</w:t>
      </w:r>
    </w:p>
    <w:p>
      <w:pPr>
        <w:spacing w:after="0" w:line="6" w:lineRule="exact"/>
        <w:rPr>
          <w:sz w:val="20"/>
          <w:szCs w:val="20"/>
          <w:color w:val="auto"/>
        </w:rPr>
      </w:pPr>
    </w:p>
    <w:p>
      <w:pPr>
        <w:ind w:left="660" w:right="540" w:hanging="330"/>
        <w:spacing w:after="0" w:line="236"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Our business is dependent on the successful development, regulatory approval and commercialization of our therapeutic product candidates, CTIM-76, CT-95 and CT-202, which are in the early stages of development.</w:t>
      </w:r>
    </w:p>
    <w:p>
      <w:pPr>
        <w:spacing w:after="0" w:line="1" w:lineRule="exact"/>
        <w:rPr>
          <w:rFonts w:ascii="Times New Roman" w:cs="Times New Roman" w:eastAsia="Times New Roman" w:hAnsi="Times New Roman"/>
          <w:sz w:val="20"/>
          <w:szCs w:val="20"/>
          <w:color w:val="auto"/>
        </w:rPr>
      </w:pPr>
    </w:p>
    <w:p>
      <w:pPr>
        <w:ind w:left="640" w:hanging="310"/>
        <w:spacing w:after="0" w:line="238" w:lineRule="auto"/>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Results of preclinical studies, early clinical trials or analyses may not be indicative of results obtained in later trials.</w:t>
      </w:r>
    </w:p>
    <w:p>
      <w:pPr>
        <w:spacing w:after="0" w:line="8" w:lineRule="exact"/>
        <w:rPr>
          <w:rFonts w:ascii="Arial" w:cs="Arial" w:eastAsia="Arial" w:hAnsi="Arial"/>
          <w:sz w:val="20"/>
          <w:szCs w:val="20"/>
          <w:color w:val="auto"/>
        </w:rPr>
      </w:pPr>
    </w:p>
    <w:p>
      <w:pPr>
        <w:ind w:left="660" w:right="360" w:hanging="330"/>
        <w:spacing w:after="0" w:line="231"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1" w:lineRule="exact"/>
        <w:rPr>
          <w:rFonts w:ascii="Arial" w:cs="Arial" w:eastAsia="Arial" w:hAnsi="Arial"/>
          <w:sz w:val="20"/>
          <w:szCs w:val="20"/>
          <w:color w:val="auto"/>
        </w:rPr>
      </w:pPr>
    </w:p>
    <w:p>
      <w:pPr>
        <w:ind w:left="660" w:right="620" w:hanging="330"/>
        <w:spacing w:after="0" w:line="222"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Any product candidate may cause serious adverse events or undesirable side effects, which may delay or prevent marketing approval, or, if approved, require it to be taken off the market, require it to include safety warnings or otherwise limit its sales.</w:t>
      </w:r>
    </w:p>
    <w:p>
      <w:pPr>
        <w:ind w:left="660" w:right="400" w:hanging="330"/>
        <w:spacing w:after="0"/>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enroll patients in our clinical trials. If we encounter difficulties or delays enrolling patients in our clinical trials, our clinical development activities could be delayed or otherwise adversely affected.</w:t>
      </w:r>
    </w:p>
    <w:p>
      <w:pPr>
        <w:spacing w:after="0" w:line="1" w:lineRule="exact"/>
        <w:rPr>
          <w:rFonts w:ascii="Times New Roman" w:cs="Times New Roman" w:eastAsia="Times New Roman" w:hAnsi="Times New Roman"/>
          <w:sz w:val="18"/>
          <w:szCs w:val="18"/>
          <w:color w:val="auto"/>
        </w:rPr>
      </w:pPr>
    </w:p>
    <w:p>
      <w:pPr>
        <w:ind w:left="640" w:hanging="310"/>
        <w:spacing w:after="0" w:line="237" w:lineRule="auto"/>
        <w:tabs>
          <w:tab w:leader="none" w:pos="64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7"/>
          <w:szCs w:val="17"/>
          <w:color w:val="auto"/>
        </w:rPr>
        <w:t>The success of our business depends primarily upon our ability to identify, develop and commercialize products using our proprietary technologies.</w:t>
      </w:r>
    </w:p>
    <w:p>
      <w:pPr>
        <w:spacing w:after="0" w:line="233" w:lineRule="auto"/>
        <w:rPr>
          <w:rFonts w:ascii="Arial" w:cs="Arial" w:eastAsia="Arial" w:hAnsi="Arial"/>
          <w:sz w:val="19"/>
          <w:szCs w:val="19"/>
          <w:color w:val="auto"/>
        </w:rPr>
      </w:pPr>
      <w:r>
        <w:rPr>
          <w:rFonts w:ascii="Times New Roman" w:cs="Times New Roman" w:eastAsia="Times New Roman" w:hAnsi="Times New Roman"/>
          <w:sz w:val="18"/>
          <w:szCs w:val="18"/>
          <w:b w:val="1"/>
          <w:bCs w:val="1"/>
          <w:color w:val="auto"/>
        </w:rPr>
        <w:t>Risks Related to Our Organization, Structure and Operations</w:t>
      </w:r>
    </w:p>
    <w:p>
      <w:pPr>
        <w:ind w:left="660" w:right="440" w:hanging="330"/>
        <w:spacing w:after="0"/>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central team consisting of a limited number of employees and consultants who provide various administrative, research and development, and other services across our organization presents operational challenges that may adversely affect our business.</w:t>
      </w:r>
    </w:p>
    <w:p>
      <w:pPr>
        <w:spacing w:after="0" w:line="1" w:lineRule="exact"/>
        <w:rPr>
          <w:rFonts w:ascii="Times New Roman" w:cs="Times New Roman" w:eastAsia="Times New Roman" w:hAnsi="Times New Roman"/>
          <w:sz w:val="18"/>
          <w:szCs w:val="18"/>
          <w:color w:val="auto"/>
        </w:rPr>
      </w:pPr>
    </w:p>
    <w:p>
      <w:pPr>
        <w:ind w:left="660" w:right="420" w:hanging="330"/>
        <w:spacing w:after="0" w:line="229"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Our future success depends on our ability to retain our executive officers and other key executives and to attract, retain and motivate qualified personnel.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right="20" w:hanging="330"/>
        <w:spacing w:after="0" w:line="233" w:lineRule="auto"/>
        <w:tabs>
          <w:tab w:leader="none" w:pos="648" w:val="left"/>
        </w:tabs>
        <w:numPr>
          <w:ilvl w:val="0"/>
          <w:numId w:val="5"/>
        </w:numPr>
        <w:rPr>
          <w:rFonts w:ascii="Arial" w:cs="Arial" w:eastAsia="Arial" w:hAnsi="Arial"/>
          <w:sz w:val="20"/>
          <w:szCs w:val="20"/>
          <w:color w:val="auto"/>
        </w:rPr>
      </w:pPr>
      <w:r>
        <w:rPr>
          <w:rFonts w:ascii="Times New Roman" w:cs="Times New Roman" w:eastAsia="Times New Roman" w:hAnsi="Times New Roman"/>
          <w:sz w:val="18"/>
          <w:szCs w:val="18"/>
          <w:color w:val="auto"/>
        </w:rPr>
        <w:t>We expect to, and do, depend on collaborations with third parties for certain research, development and commercialization activities, and to rely on third parties to conduct, supervise and monitor our clinical trials and some aspects of our research and preclinical testing, as well as for the manufacturing process of product candidates. If any such collaborations or services by such third parties are not successful or not performed in a satisfactory manner, it may harm our business and prospects, and we may not be able to obtain regulatory approval or commercialize product candidates, or such approval or commercialization may be delayed, and our business may be substantially harmed.</w:t>
      </w:r>
    </w:p>
    <w:p>
      <w:pPr>
        <w:ind w:left="640" w:hanging="310"/>
        <w:spacing w:after="0" w:line="233"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sufficient quantities of raw materials and supplies, at acceptable prices and on a timely basis, it could harm our business.</w:t>
      </w:r>
    </w:p>
    <w:p>
      <w:pPr>
        <w:ind w:left="660" w:right="280" w:hanging="330"/>
        <w:spacing w:after="0" w:line="239" w:lineRule="auto"/>
        <w:tabs>
          <w:tab w:leader="none" w:pos="655" w:val="left"/>
        </w:tabs>
        <w:numPr>
          <w:ilvl w:val="0"/>
          <w:numId w:val="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We may become involved in disagreements or disputes with our licensees, licensors and other counterparties relating to the development and/or commercialization of our current or past product candidates, which may be time consuming, costly and could harm our efforts to develop our</w:t>
      </w:r>
    </w:p>
    <w:p>
      <w:pPr>
        <w:ind w:left="660"/>
        <w:spacing w:after="0" w:line="234" w:lineRule="auto"/>
        <w:rPr>
          <w:sz w:val="20"/>
          <w:szCs w:val="20"/>
          <w:color w:val="auto"/>
        </w:rPr>
      </w:pPr>
      <w:r>
        <w:rPr>
          <w:rFonts w:ascii="Times New Roman" w:cs="Times New Roman" w:eastAsia="Times New Roman" w:hAnsi="Times New Roman"/>
          <w:sz w:val="18"/>
          <w:szCs w:val="18"/>
          <w:color w:val="auto"/>
        </w:rPr>
        <w:t>current or future product candidates.</w:t>
      </w: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3" w:lineRule="exact"/>
        <w:rPr>
          <w:sz w:val="20"/>
          <w:szCs w:val="20"/>
          <w:color w:val="auto"/>
        </w:rPr>
      </w:pPr>
    </w:p>
    <w:p>
      <w:pPr>
        <w:ind w:left="660" w:right="240" w:hanging="330"/>
        <w:spacing w:after="0" w:line="238" w:lineRule="auto"/>
        <w:tabs>
          <w:tab w:leader="none" w:pos="648" w:val="left"/>
        </w:tabs>
        <w:numPr>
          <w:ilvl w:val="0"/>
          <w:numId w:val="6"/>
        </w:numPr>
        <w:rPr>
          <w:rFonts w:ascii="Arial" w:cs="Arial" w:eastAsia="Arial" w:hAnsi="Arial"/>
          <w:sz w:val="20"/>
          <w:szCs w:val="20"/>
          <w:color w:val="auto"/>
        </w:rPr>
      </w:pPr>
      <w:r>
        <w:rPr>
          <w:rFonts w:ascii="Times New Roman" w:cs="Times New Roman" w:eastAsia="Times New Roman" w:hAnsi="Times New Roman"/>
          <w:sz w:val="18"/>
          <w:szCs w:val="18"/>
          <w:color w:val="auto"/>
        </w:rPr>
        <w:t>The FDA regulatory approval process is lengthy and time-consuming, and we may experience significant delays in the clinical development and regulatory approval of our current and any future product candidates.</w:t>
      </w:r>
    </w:p>
    <w:p>
      <w:pPr>
        <w:ind w:left="660" w:right="860" w:hanging="330"/>
        <w:spacing w:after="0" w:line="236" w:lineRule="auto"/>
        <w:tabs>
          <w:tab w:leader="none" w:pos="648" w:val="left"/>
        </w:tabs>
        <w:numPr>
          <w:ilvl w:val="0"/>
          <w:numId w:val="6"/>
        </w:numPr>
        <w:rPr>
          <w:rFonts w:ascii="Arial" w:cs="Arial" w:eastAsia="Arial" w:hAnsi="Arial"/>
          <w:sz w:val="20"/>
          <w:szCs w:val="20"/>
          <w:color w:val="auto"/>
        </w:rPr>
      </w:pPr>
      <w:r>
        <w:rPr>
          <w:rFonts w:ascii="Times New Roman" w:cs="Times New Roman" w:eastAsia="Times New Roman" w:hAnsi="Times New Roman"/>
          <w:sz w:val="18"/>
          <w:szCs w:val="18"/>
          <w:color w:val="auto"/>
        </w:rPr>
        <w:t>We expect that CTIM-76, CT-95 and CT-202 will be regulated as biological products, or biologics, and therefore they may be subject to competition from biosimilar applicants.</w:t>
      </w:r>
    </w:p>
    <w:p>
      <w:pPr>
        <w:ind w:left="640" w:hanging="310"/>
        <w:spacing w:after="0" w:line="238" w:lineRule="auto"/>
        <w:tabs>
          <w:tab w:leader="none" w:pos="640" w:val="left"/>
        </w:tabs>
        <w:numPr>
          <w:ilvl w:val="0"/>
          <w:numId w:val="6"/>
        </w:numPr>
        <w:rPr>
          <w:rFonts w:ascii="Arial" w:cs="Arial" w:eastAsia="Arial" w:hAnsi="Arial"/>
          <w:sz w:val="20"/>
          <w:szCs w:val="20"/>
          <w:color w:val="auto"/>
        </w:rPr>
      </w:pPr>
      <w:r>
        <w:rPr>
          <w:rFonts w:ascii="Times New Roman" w:cs="Times New Roman" w:eastAsia="Times New Roman" w:hAnsi="Times New Roman"/>
          <w:sz w:val="18"/>
          <w:szCs w:val="18"/>
          <w:color w:val="auto"/>
        </w:rPr>
        <w:t>The FDA may disagree with our regulatory plan and we may fail to obtain regulatory approval of any product candidate.</w:t>
      </w:r>
    </w:p>
    <w:p>
      <w:pPr>
        <w:spacing w:after="0" w:line="8" w:lineRule="exact"/>
        <w:rPr>
          <w:rFonts w:ascii="Arial" w:cs="Arial" w:eastAsia="Arial" w:hAnsi="Arial"/>
          <w:sz w:val="20"/>
          <w:szCs w:val="20"/>
          <w:color w:val="auto"/>
        </w:rPr>
      </w:pPr>
    </w:p>
    <w:p>
      <w:pPr>
        <w:ind w:left="660" w:right="340" w:hanging="330"/>
        <w:spacing w:after="0" w:line="231" w:lineRule="auto"/>
        <w:tabs>
          <w:tab w:leader="none" w:pos="648" w:val="left"/>
        </w:tabs>
        <w:numPr>
          <w:ilvl w:val="0"/>
          <w:numId w:val="6"/>
        </w:numPr>
        <w:rPr>
          <w:rFonts w:ascii="Arial" w:cs="Arial" w:eastAsia="Arial" w:hAnsi="Arial"/>
          <w:sz w:val="20"/>
          <w:szCs w:val="20"/>
          <w:color w:val="auto"/>
        </w:rPr>
      </w:pPr>
      <w:r>
        <w:rPr>
          <w:rFonts w:ascii="Times New Roman" w:cs="Times New Roman" w:eastAsia="Times New Roman" w:hAnsi="Times New Roman"/>
          <w:sz w:val="18"/>
          <w:szCs w:val="18"/>
          <w:color w:val="auto"/>
        </w:rPr>
        <w:t>Obtaining and maintaining regulatory approval of a product candidate in one jurisdiction does not mean that we will be successful in obtaining regulatory approval of such product candidate in other jurisdictions.</w:t>
      </w:r>
    </w:p>
    <w:p>
      <w:pPr>
        <w:spacing w:after="0" w:line="1" w:lineRule="exact"/>
        <w:rPr>
          <w:rFonts w:ascii="Arial" w:cs="Arial" w:eastAsia="Arial" w:hAnsi="Arial"/>
          <w:sz w:val="20"/>
          <w:szCs w:val="20"/>
          <w:color w:val="auto"/>
        </w:rPr>
      </w:pPr>
    </w:p>
    <w:p>
      <w:pPr>
        <w:ind w:left="660" w:right="220" w:hanging="330"/>
        <w:spacing w:after="0" w:line="236" w:lineRule="auto"/>
        <w:tabs>
          <w:tab w:leader="none" w:pos="648" w:val="left"/>
        </w:tabs>
        <w:numPr>
          <w:ilvl w:val="0"/>
          <w:numId w:val="6"/>
        </w:numPr>
        <w:rPr>
          <w:rFonts w:ascii="Arial" w:cs="Arial" w:eastAsia="Arial" w:hAnsi="Arial"/>
          <w:sz w:val="20"/>
          <w:szCs w:val="20"/>
          <w:color w:val="auto"/>
        </w:rPr>
      </w:pPr>
      <w:r>
        <w:rPr>
          <w:rFonts w:ascii="Times New Roman" w:cs="Times New Roman" w:eastAsia="Times New Roman" w:hAnsi="Times New Roman"/>
          <w:sz w:val="18"/>
          <w:szCs w:val="18"/>
          <w:color w:val="auto"/>
        </w:rPr>
        <w:t>Even if we obtain regulatory approval of a product candidate, the product may not gain market acceptance among physicians, patients, hospitals, cancer treatment centers and others in the medical community.</w:t>
      </w:r>
    </w:p>
    <w:p>
      <w:pPr>
        <w:ind w:left="660" w:hanging="330"/>
        <w:spacing w:after="0" w:line="222" w:lineRule="auto"/>
        <w:tabs>
          <w:tab w:leader="none" w:pos="648" w:val="left"/>
        </w:tabs>
        <w:numPr>
          <w:ilvl w:val="0"/>
          <w:numId w:val="6"/>
        </w:numPr>
        <w:rPr>
          <w:rFonts w:ascii="Arial" w:cs="Arial" w:eastAsia="Arial" w:hAnsi="Arial"/>
          <w:sz w:val="20"/>
          <w:szCs w:val="20"/>
          <w:color w:val="auto"/>
        </w:rPr>
      </w:pPr>
      <w:r>
        <w:rPr>
          <w:rFonts w:ascii="Times New Roman" w:cs="Times New Roman" w:eastAsia="Times New Roman" w:hAnsi="Times New Roman"/>
          <w:sz w:val="18"/>
          <w:szCs w:val="18"/>
          <w:color w:val="auto"/>
        </w:rPr>
        <w:t>Coverage and reimbursement may be limited or unavailable in certain market segments for a product candidate, which could make it difficult for us to sell such product candidate, if approved, profitably.</w:t>
      </w: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3" w:lineRule="exact"/>
        <w:rPr>
          <w:sz w:val="20"/>
          <w:szCs w:val="20"/>
          <w:color w:val="auto"/>
        </w:rPr>
      </w:pPr>
    </w:p>
    <w:p>
      <w:pPr>
        <w:ind w:left="660" w:right="160" w:hanging="330"/>
        <w:spacing w:after="0" w:line="238"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Patents and patent applications involve highly complex legal and factual questions, which, if determined adversely to us, could negatively impact our business position.</w:t>
      </w:r>
    </w:p>
    <w:p>
      <w:pPr>
        <w:ind w:left="660" w:right="100" w:hanging="330"/>
        <w:spacing w:after="0" w:line="234"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our current and any future product candidates, prohibit our use of proprietary technology or sale of potential products or put our patents and other proprietary rights at risk.</w:t>
      </w:r>
    </w:p>
    <w:p>
      <w:pPr>
        <w:spacing w:after="0" w:line="3" w:lineRule="exact"/>
        <w:rPr>
          <w:rFonts w:ascii="Arial" w:cs="Arial" w:eastAsia="Arial" w:hAnsi="Arial"/>
          <w:sz w:val="20"/>
          <w:szCs w:val="20"/>
          <w:color w:val="auto"/>
        </w:rPr>
      </w:pPr>
    </w:p>
    <w:p>
      <w:pPr>
        <w:ind w:left="660" w:right="160" w:hanging="330"/>
        <w:spacing w:after="0" w:line="236" w:lineRule="auto"/>
        <w:tabs>
          <w:tab w:leader="none" w:pos="648"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Our ability to compete effectively in our markets may decline if we do not adequately protect our proprietary rights, and our proprietary rights do not necessarily address all potential threats to our competitive advantages.</w:t>
      </w:r>
    </w:p>
    <w:p>
      <w:pPr>
        <w:ind w:left="660" w:right="460" w:hanging="330"/>
        <w:spacing w:after="0" w:line="249" w:lineRule="auto"/>
        <w:tabs>
          <w:tab w:leader="none" w:pos="648" w:val="left"/>
        </w:tabs>
        <w:numPr>
          <w:ilvl w:val="0"/>
          <w:numId w:val="7"/>
        </w:numPr>
        <w:rPr>
          <w:rFonts w:ascii="Arial" w:cs="Arial" w:eastAsia="Arial" w:hAnsi="Arial"/>
          <w:sz w:val="19"/>
          <w:szCs w:val="19"/>
          <w:color w:val="auto"/>
        </w:rPr>
      </w:pPr>
      <w:r>
        <w:rPr>
          <w:rFonts w:ascii="Times New Roman" w:cs="Times New Roman" w:eastAsia="Times New Roman" w:hAnsi="Times New Roman"/>
          <w:sz w:val="17"/>
          <w:szCs w:val="17"/>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ind w:left="640" w:hanging="310"/>
        <w:spacing w:after="0" w:line="211" w:lineRule="auto"/>
        <w:tabs>
          <w:tab w:leader="none" w:pos="640"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Market for Our Common Stock</w:t>
      </w:r>
    </w:p>
    <w:p>
      <w:pPr>
        <w:ind w:left="640" w:hanging="310"/>
        <w:spacing w:after="0" w:line="232" w:lineRule="auto"/>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Our common stock may be volatile or may decline regardless of our operating performance.</w:t>
      </w:r>
    </w:p>
    <w:p>
      <w:pPr>
        <w:ind w:left="640" w:hanging="310"/>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not be able to maintain compliance with the continued listing requirements of The Nasdaq Stock Market.</w:t>
      </w:r>
    </w:p>
    <w:p>
      <w:pPr>
        <w:spacing w:after="0" w:line="6" w:lineRule="exact"/>
        <w:rPr>
          <w:rFonts w:ascii="Times New Roman" w:cs="Times New Roman" w:eastAsia="Times New Roman" w:hAnsi="Times New Roman"/>
          <w:sz w:val="18"/>
          <w:szCs w:val="18"/>
          <w:b w:val="1"/>
          <w:bCs w:val="1"/>
          <w:color w:val="auto"/>
        </w:rPr>
      </w:pPr>
    </w:p>
    <w:p>
      <w:pPr>
        <w:ind w:left="660" w:right="320" w:hanging="330"/>
        <w:spacing w:after="0" w:line="236" w:lineRule="auto"/>
        <w:tabs>
          <w:tab w:leader="none" w:pos="648" w:val="left"/>
        </w:tabs>
        <w:numPr>
          <w:ilvl w:val="0"/>
          <w:numId w:val="8"/>
        </w:numPr>
        <w:rPr>
          <w:rFonts w:ascii="Arial" w:cs="Arial" w:eastAsia="Arial" w:hAnsi="Arial"/>
          <w:sz w:val="20"/>
          <w:szCs w:val="20"/>
          <w:b w:val="1"/>
          <w:bCs w:val="1"/>
          <w:i w:val="1"/>
          <w:iCs w:val="1"/>
          <w:color w:val="auto"/>
        </w:rPr>
      </w:pPr>
      <w:r>
        <w:rPr>
          <w:rFonts w:ascii="Times New Roman" w:cs="Times New Roman" w:eastAsia="Times New Roman" w:hAnsi="Times New Roman"/>
          <w:sz w:val="18"/>
          <w:szCs w:val="18"/>
          <w:color w:val="auto"/>
        </w:rPr>
        <w:t>Raising additional capital may cause dilution to our stockholders, restrict our operations or require us to relinquish rights to our technologies or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Form 10-K contains “forward-looking statements” within the meaning of the Private Securities Litigation Reform Act of 1995. These statements are based on our management’s beliefs and assumptions and on information currently available to us. All statements other than statements of historical facts are forward-looking statements. The forward-looking statements are contained principally in, but not limited to, the sections entitled “Risk Factors,” “Management’s Discussion and Analysis of Financial Condition and Results of Operations” and “Business.” These statements relate to future events or to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133" w:lineRule="exact"/>
        <w:rPr>
          <w:sz w:val="20"/>
          <w:szCs w:val="20"/>
          <w:color w:val="auto"/>
        </w:rPr>
      </w:pPr>
    </w:p>
    <w:p>
      <w:pPr>
        <w:ind w:left="640" w:hanging="31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preclinical studies and clinical trials to demonstrate safety and efficacy of our product candidates, and other positive results;</w:t>
      </w:r>
    </w:p>
    <w:p>
      <w:pPr>
        <w:spacing w:after="0" w:line="169"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CTIM-76, CT-95, CT-202 and other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123" w:lineRule="exact"/>
        <w:rPr>
          <w:rFonts w:ascii="Times New Roman" w:cs="Times New Roman" w:eastAsia="Times New Roman" w:hAnsi="Times New Roman"/>
          <w:sz w:val="18"/>
          <w:szCs w:val="18"/>
          <w:color w:val="auto"/>
        </w:rPr>
      </w:pPr>
    </w:p>
    <w:p>
      <w:pPr>
        <w:ind w:left="660" w:right="60" w:hanging="330"/>
        <w:spacing w:after="0" w:line="26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U.S. and foreign regulatory filings and approvals, including timing of Investigational New Drug (“IND”) applications and final U.S. Food and Drug Administration (“FDA”) approval, as well as similar applications and approvals in foreign jurisdictions, of CTIM-76, CT-95, CT-202 and any other future product candidates;</w:t>
      </w:r>
    </w:p>
    <w:p>
      <w:pPr>
        <w:spacing w:after="0" w:line="123"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CTIM-76, CT-95, CT-202 and any other future product candidates, and successfully complete clinical studies;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commercialization, and marketing capabilities, implementations thereof, and strategy;</w:t>
      </w:r>
    </w:p>
    <w:p>
      <w:pPr>
        <w:spacing w:after="0" w:line="169" w:lineRule="exact"/>
        <w:rPr>
          <w:rFonts w:ascii="Times New Roman" w:cs="Times New Roman" w:eastAsia="Times New Roman" w:hAnsi="Times New Roman"/>
          <w:sz w:val="18"/>
          <w:szCs w:val="18"/>
          <w:color w:val="auto"/>
        </w:rPr>
      </w:pPr>
    </w:p>
    <w:p>
      <w:pPr>
        <w:ind w:left="660" w:right="60" w:hanging="330"/>
        <w:spacing w:after="0" w:line="28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the geographic areas of focus, sales strategy, and our ability to grow a sales team;</w:t>
      </w:r>
    </w:p>
    <w:p>
      <w:pPr>
        <w:spacing w:after="0" w:line="108" w:lineRule="exact"/>
        <w:rPr>
          <w:rFonts w:ascii="Times New Roman" w:cs="Times New Roman" w:eastAsia="Times New Roman" w:hAnsi="Times New Roman"/>
          <w:sz w:val="18"/>
          <w:szCs w:val="18"/>
          <w:color w:val="auto"/>
        </w:rPr>
      </w:pPr>
    </w:p>
    <w:p>
      <w:pPr>
        <w:ind w:left="660" w:right="240" w:hanging="330"/>
        <w:spacing w:after="0" w:line="259"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and maintain for intellectual property rights covering CTIM-76, CT-95, CT-202,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127" w:lineRule="exact"/>
        <w:rPr>
          <w:rFonts w:ascii="Times New Roman" w:cs="Times New Roman" w:eastAsia="Times New Roman" w:hAnsi="Times New Roman"/>
          <w:sz w:val="18"/>
          <w:szCs w:val="18"/>
          <w:color w:val="auto"/>
        </w:rPr>
      </w:pPr>
    </w:p>
    <w:p>
      <w:pPr>
        <w:ind w:left="660" w:right="240" w:hanging="330"/>
        <w:spacing w:after="0" w:line="264" w:lineRule="auto"/>
        <w:tabs>
          <w:tab w:leader="none" w:pos="65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any disagreements or disputes with our licensees, licensors and other counterparties relating to the development and/or commercialization of our current or past product candidates, which may be time consuming, costly and could harm our efforts to develop our current or future product candidates;</w:t>
      </w:r>
    </w:p>
    <w:p>
      <w:pPr>
        <w:spacing w:after="0" w:line="123" w:lineRule="exact"/>
        <w:rPr>
          <w:rFonts w:ascii="Times New Roman" w:cs="Times New Roman" w:eastAsia="Times New Roman" w:hAnsi="Times New Roman"/>
          <w:sz w:val="18"/>
          <w:szCs w:val="18"/>
          <w:b w:val="1"/>
          <w:bCs w:val="1"/>
          <w:i w:val="1"/>
          <w:iCs w:val="1"/>
          <w:color w:val="auto"/>
        </w:rPr>
      </w:pPr>
    </w:p>
    <w:p>
      <w:pPr>
        <w:ind w:left="660" w:right="580" w:hanging="330"/>
        <w:spacing w:after="0" w:line="28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uncertainties on our business and operations, including clinical trials, manufacturing suppliers, collaborators, use of contract research organizations and employees;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and retain such personnel;</w:t>
      </w:r>
    </w:p>
    <w:p>
      <w:pPr>
        <w:spacing w:after="0" w:line="169"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including our estimates of the number of patients who suffer from the diseases we are targeting;</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success of competing therapies that are or may become available;</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of our product candidates, including additional indications we may pursue;</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Europe, Australia, and other jurisdictions;</w:t>
      </w:r>
    </w:p>
    <w:p>
      <w:pPr>
        <w:spacing w:after="0" w:line="169" w:lineRule="exact"/>
        <w:rPr>
          <w:rFonts w:ascii="Times New Roman" w:cs="Times New Roman" w:eastAsia="Times New Roman" w:hAnsi="Times New Roman"/>
          <w:sz w:val="18"/>
          <w:szCs w:val="18"/>
          <w:color w:val="auto"/>
        </w:rPr>
      </w:pPr>
    </w:p>
    <w:p>
      <w:pPr>
        <w:ind w:left="660" w:right="440" w:hanging="330"/>
        <w:spacing w:after="0" w:line="28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and support clinical trials of our product candidates, and for the manufacture of our product candidates for preclinical studies and clinical trials;</w:t>
      </w:r>
    </w:p>
    <w:p>
      <w:pPr>
        <w:spacing w:after="0" w:line="108"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negotiate favorable terms of, collaboration, licensing or other arrangements that may be necessary or desirable to develop, manufacture or commercialize our product candidates;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CTIM-76, CT-95, CT-202 and other product candidates we may develop, if approved;</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CTIM-76, CT-95, CT-202 and other product candidates we may develop;</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69"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plans to seek additional capital in the future through equity and/or debt financings, partnerships, collaborations, licensing agreements or other strategic arrangements, or other sources and the availability of such future sources of capital;</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continued listing requirements of The Nasdaq Stock Market;</w:t>
      </w:r>
    </w:p>
    <w:p>
      <w:pPr>
        <w:spacing w:after="0" w:line="169" w:lineRule="exact"/>
        <w:rPr>
          <w:rFonts w:ascii="Times New Roman" w:cs="Times New Roman" w:eastAsia="Times New Roman" w:hAnsi="Times New Roman"/>
          <w:sz w:val="18"/>
          <w:szCs w:val="18"/>
          <w:color w:val="auto"/>
        </w:rPr>
      </w:pPr>
    </w:p>
    <w:p>
      <w:pPr>
        <w:ind w:left="660" w:right="520" w:hanging="330"/>
        <w:spacing w:after="0" w:line="28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and cash equivalents will be sufficient to fund our future operating expenses and capital expenditure requirements;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and cash equivalents; and</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“could,” “will,” “should,” “would,” “expect,” “plan,” “intend,” “anticipate,” “believe,” “estimate,” “predict,” “potential,” “project” or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heading “Risk Factors” and elsewhere in this Form 10-K.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As a result, you should not place undue reliance on forward-looking statements.</w:t>
      </w:r>
    </w:p>
    <w:p>
      <w:pPr>
        <w:spacing w:after="0" w:line="13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Form 10-K also contains certain data and information which we obtained from various government and private publications or third parties. Although we believe that the publications, information, data and reports are reliable, we have not independently verified the data. Statistical data in these publications includes projections that are based on a number of assumptions. If any one or more of the assumptions underlying the market data is later found to be incorrect, actual results may differ from the projections based on these assumptions. Scientific and clinical data presented herein are – by definition prior to completion of the clinical trial and a clinical study report – preliminary in nature and subject to further quality checks including customary source data verification.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forward-looking statements made in this Form 10-K relate only to events or information as of the date of the Form 10-K (or any earlier date indicated in such statement). Although we are a public company and have ongoing disclosure obligations under United States federal securities laws, we do not intend to update or otherwise revise the forward-looking statements in this Form 10-K,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estimates, projections, market research and other information concerning our industry, our business, markets for our product candidates, the size of those markets, and the prevalence of certain medical conditions. Unless otherwise expressly stated, we obtain this information from reports, research surveys, studies and similar data prepared by market research firms and other third parties, industry, medical and general publications, government data and similar sources as well as from our own internal estimates and research and from publications, research, surveys and studies conducted by third parties on our behalf. Information that is based on estimates, projections, market research or similar methodologies is inherently subject to uncertainties and actual events or circumstances may differ materially from events and circumstances that are reflected in this information. As a result, you are cautioned not to give undue weight to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We are a clinical-stage biopharmaceutical company advancing T cell engaging (“TCE”) bispecific antibodies (“bsAb”) for solid tumors. Our goal is to build an innovative portfolio of TCE bispecific therapeutics, including CTIM-76, a Claudin 6 (“CLDN6”) x CD3 TCE, CT-95, a Mesothelin (“MSLN”) x CD3 TCE, and CT-202, a Nectin cell adhesion protein 4 (“Nectin-4”) x CD3 TCE.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pipeline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5119370" cy="2508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19370" cy="250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CTIM-76 is a CLDN6 x CD3 TCE that is intended to redirect T-cell-mediated lysis toward malignant cells expressing CLDN6. CLDN6 is a tight junction membrane protein target expressed in multiple solid tumors and absent from or expressed at low levels in healthy adult tissues. IND-enabling studies on CTIM-76 have been completed. On May 2, 2024, we announced the U.S. Food and Drug Administration (the “FDA”) cleared our IND application to support the initiation of a Phase 1 dose escalation and expansion trial of CTIM-76 in patients with CLDN6-positive gynecologic and testicular cancers. We dosed the first patient in our CTIM-76 Phase 1 trial in January 2025. We expect to share Phase 1a interim data for the CTIM-76 trial in June 2026.</w:t>
      </w:r>
    </w:p>
    <w:p>
      <w:pPr>
        <w:spacing w:after="0" w:line="210" w:lineRule="exact"/>
        <w:rPr>
          <w:sz w:val="20"/>
          <w:szCs w:val="20"/>
          <w:color w:val="auto"/>
        </w:rPr>
      </w:pPr>
    </w:p>
    <w:p>
      <w:pPr>
        <w:jc w:val="both"/>
        <w:ind w:right="200"/>
        <w:spacing w:after="0" w:line="249" w:lineRule="auto"/>
        <w:rPr>
          <w:sz w:val="20"/>
          <w:szCs w:val="20"/>
          <w:color w:val="auto"/>
        </w:rPr>
      </w:pPr>
      <w:r>
        <w:rPr>
          <w:rFonts w:ascii="Times New Roman" w:cs="Times New Roman" w:eastAsia="Times New Roman" w:hAnsi="Times New Roman"/>
          <w:sz w:val="18"/>
          <w:szCs w:val="18"/>
          <w:color w:val="auto"/>
        </w:rPr>
        <w:t>CT-95 is an MSLN x CD3 TCE that is intended to redirect T-cell-mediated lysis toward malignant cells expressing MSLN. MSLN is a membrane protein overexpressed in approximately 30% of cancers. We dosed the first patient in our CT-95 Phase 1 trial in April 2025. We expect to share Phase 1a interim data for the CT-95 trial in September 2026.</w:t>
      </w:r>
    </w:p>
    <w:p>
      <w:pPr>
        <w:spacing w:after="0" w:line="202"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CT-202 is a Nectin-4 x CD3 TCE that targets Nectin-4, a cell surface protein that is highly and frequently overexpressed in a variety of solid tumors, including bladder, colorectal, lung and breast. Nectin-4 is a clinically validated target for cancer therapy using a traditional antibody-drug conjugate (“ADC”), but it is also associated with certain adverse events, including neuropathy and rash. CT-202 is a pH-dependent TCE that is designed to be preferentially active within the tumor microenvironment. We submitted our application to the Australian Bellberry Human Research Ethics Committee (“HREC”) in March 2026 to support the initiation of a first-in-human trial for CT-202. We expect to dose the first patient in our CT-202 Phase 1 trial in the third quarter of 2026.</w:t>
      </w:r>
    </w:p>
    <w:p>
      <w:pPr>
        <w:spacing w:after="0" w:line="21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Beyond these product candidates, we continue to evaluate opportunities to expand our pipeline. We believe our team and capabilities position us to be a leader in developing novel therapies targeting solid tumors. We retain full worldwide development and commercialization rights to certain CTIM-76 patents in the field of bispecific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18"/>
          <w:szCs w:val="18"/>
          <w:color w:val="auto"/>
        </w:rPr>
        <w:t>antibodies, full worldwide development and commercialization rights to CT-95 patents, and full worldwide development and commercialization rights to certain CT-202 patents.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60" w:lineRule="exact"/>
        <w:rPr>
          <w:sz w:val="20"/>
          <w:szCs w:val="20"/>
          <w:color w:val="auto"/>
        </w:rPr>
      </w:pPr>
    </w:p>
    <w:p>
      <w:pPr>
        <w:ind w:right="560"/>
        <w:spacing w:after="0" w:line="248" w:lineRule="auto"/>
        <w:rPr>
          <w:sz w:val="20"/>
          <w:szCs w:val="20"/>
          <w:color w:val="auto"/>
        </w:rPr>
      </w:pPr>
      <w:r>
        <w:rPr>
          <w:rFonts w:ascii="Times New Roman" w:cs="Times New Roman" w:eastAsia="Times New Roman" w:hAnsi="Times New Roman"/>
          <w:sz w:val="18"/>
          <w:szCs w:val="18"/>
          <w:color w:val="auto"/>
        </w:rPr>
        <w:t>Our goal is to deliver safe and effective selective cancer therapies for patient populations with significant unmet medical needs. Key elements of our strategy include:</w:t>
      </w:r>
    </w:p>
    <w:p>
      <w:pPr>
        <w:spacing w:after="0" w:line="200" w:lineRule="exact"/>
        <w:rPr>
          <w:sz w:val="20"/>
          <w:szCs w:val="20"/>
          <w:color w:val="auto"/>
        </w:rPr>
      </w:pPr>
    </w:p>
    <w:p>
      <w:pPr>
        <w:jc w:val="both"/>
        <w:ind w:left="660" w:hanging="330"/>
        <w:spacing w:after="0" w:line="25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Rapidly advance our CTIM-76 and CT-95 clinical programs through Phase 1 proof of concept. </w:t>
      </w:r>
      <w:r>
        <w:rPr>
          <w:rFonts w:ascii="Times New Roman" w:cs="Times New Roman" w:eastAsia="Times New Roman" w:hAnsi="Times New Roman"/>
          <w:sz w:val="18"/>
          <w:szCs w:val="18"/>
          <w:color w:val="auto"/>
        </w:rPr>
        <w:t>We are currently evaluating CTIM-76 in a Phase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 clinical trial and plan to provide Phase 1a interim data for the CTIM-76 trial in June 2026. Additionally, we plan to provide Phase 1a interim data for the CT-95 trial in September 2026.</w:t>
      </w:r>
    </w:p>
    <w:p>
      <w:pPr>
        <w:spacing w:after="0" w:line="197" w:lineRule="exact"/>
        <w:rPr>
          <w:rFonts w:ascii="Times New Roman" w:cs="Times New Roman" w:eastAsia="Times New Roman" w:hAnsi="Times New Roman"/>
          <w:sz w:val="18"/>
          <w:szCs w:val="18"/>
          <w:color w:val="auto"/>
        </w:rPr>
      </w:pPr>
    </w:p>
    <w:p>
      <w:pPr>
        <w:ind w:left="660" w:right="80" w:hanging="330"/>
        <w:spacing w:after="0" w:line="26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Rapidly advance our third program, CT-202, into clinical development. </w:t>
      </w:r>
      <w:r>
        <w:rPr>
          <w:rFonts w:ascii="Times New Roman" w:cs="Times New Roman" w:eastAsia="Times New Roman" w:hAnsi="Times New Roman"/>
          <w:sz w:val="18"/>
          <w:szCs w:val="18"/>
          <w:color w:val="auto"/>
        </w:rPr>
        <w:t>We submitted our application to the HREC in March 2026 to support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initiation of a first-in-human trial for CT-202. We expect to dose the first patient in our CT-202 Phase 1 trial in the third quarter of 2026.</w:t>
      </w:r>
    </w:p>
    <w:p>
      <w:pPr>
        <w:spacing w:after="0" w:line="180" w:lineRule="exact"/>
        <w:rPr>
          <w:rFonts w:ascii="Times New Roman" w:cs="Times New Roman" w:eastAsia="Times New Roman" w:hAnsi="Times New Roman"/>
          <w:sz w:val="18"/>
          <w:szCs w:val="18"/>
          <w:color w:val="auto"/>
        </w:rPr>
      </w:pPr>
    </w:p>
    <w:p>
      <w:pPr>
        <w:jc w:val="both"/>
        <w:ind w:left="660" w:right="60" w:hanging="330"/>
        <w:spacing w:after="0" w:line="251"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Seek opportunities to expand our pipeline of selective cancer drug candidates and targets. </w:t>
      </w:r>
      <w:r>
        <w:rPr>
          <w:rFonts w:ascii="Times New Roman" w:cs="Times New Roman" w:eastAsia="Times New Roman" w:hAnsi="Times New Roman"/>
          <w:sz w:val="18"/>
          <w:szCs w:val="18"/>
          <w:color w:val="auto"/>
        </w:rPr>
        <w:t>We intend to continue to seek opportunities to expand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TCE pipeline for solid tumors. If we identify targets that we deem to have high potential to address unmet medical needs, we may develop, in-license or acquire assets with therapeutic potential against those identified selective cancer targets.</w:t>
      </w:r>
    </w:p>
    <w:p>
      <w:pPr>
        <w:spacing w:after="0" w:line="197" w:lineRule="exact"/>
        <w:rPr>
          <w:rFonts w:ascii="Times New Roman" w:cs="Times New Roman" w:eastAsia="Times New Roman" w:hAnsi="Times New Roman"/>
          <w:sz w:val="18"/>
          <w:szCs w:val="18"/>
          <w:b w:val="1"/>
          <w:bCs w:val="1"/>
          <w:i w:val="1"/>
          <w:iCs w:val="1"/>
          <w:color w:val="auto"/>
        </w:rPr>
      </w:pPr>
    </w:p>
    <w:p>
      <w:pPr>
        <w:ind w:left="660" w:hanging="330"/>
        <w:spacing w:after="0" w:line="264"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Evaluate strategic opportunities to potentially accelerate development timelines and enhance the commercial potential of our product candidates globally. </w:t>
      </w:r>
      <w:r>
        <w:rPr>
          <w:rFonts w:ascii="Times New Roman" w:cs="Times New Roman" w:eastAsia="Times New Roman" w:hAnsi="Times New Roman"/>
          <w:sz w:val="17"/>
          <w:szCs w:val="17"/>
          <w:color w:val="auto"/>
        </w:rPr>
        <w:t>We intend to leverage our TCE expertise to advance a novel pipeline. We plan to commercialize our product candidates in key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markets, either alone or with strategic partners, and seek to maximize the worldwide commercial potential of our programs, including the potential to out-license certain assets during development to a third party that may accelerate development and commercialization of one or all of our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Pipeline and Development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CLDN6xCD3 TCE program: CTIM-76</w:t>
      </w:r>
    </w:p>
    <w:p>
      <w:pPr>
        <w:spacing w:after="0" w:line="160" w:lineRule="exact"/>
        <w:rPr>
          <w:sz w:val="20"/>
          <w:szCs w:val="20"/>
          <w:color w:val="auto"/>
        </w:rPr>
      </w:pPr>
    </w:p>
    <w:p>
      <w:pPr>
        <w:jc w:val="both"/>
        <w:ind w:right="400"/>
        <w:spacing w:after="0" w:line="249" w:lineRule="auto"/>
        <w:rPr>
          <w:sz w:val="20"/>
          <w:szCs w:val="20"/>
          <w:color w:val="auto"/>
        </w:rPr>
      </w:pPr>
      <w:r>
        <w:rPr>
          <w:rFonts w:ascii="Times New Roman" w:cs="Times New Roman" w:eastAsia="Times New Roman" w:hAnsi="Times New Roman"/>
          <w:sz w:val="18"/>
          <w:szCs w:val="18"/>
          <w:color w:val="auto"/>
        </w:rPr>
        <w:t>Our clinical product candidate, CTIM-76, is a CLDN6 x CD3 TCE that is intended to redirect T-cell-mediated lysis toward malignant cells expressing CLDN6. CLDN6 is a tight junction membrane protein target that has high prevalence across many solid tumors and is absent from or expressed at low levels in healthy adult tissues.</w:t>
      </w:r>
    </w:p>
    <w:p>
      <w:pPr>
        <w:spacing w:after="0" w:line="202" w:lineRule="exact"/>
        <w:rPr>
          <w:sz w:val="20"/>
          <w:szCs w:val="20"/>
          <w:color w:val="auto"/>
        </w:rPr>
      </w:pPr>
    </w:p>
    <w:p>
      <w:pPr>
        <w:jc w:val="both"/>
        <w:ind w:right="300"/>
        <w:spacing w:after="0" w:line="249" w:lineRule="auto"/>
        <w:rPr>
          <w:sz w:val="20"/>
          <w:szCs w:val="20"/>
          <w:color w:val="auto"/>
        </w:rPr>
      </w:pPr>
      <w:r>
        <w:rPr>
          <w:rFonts w:ascii="Times New Roman" w:cs="Times New Roman" w:eastAsia="Times New Roman" w:hAnsi="Times New Roman"/>
          <w:sz w:val="18"/>
          <w:szCs w:val="18"/>
          <w:color w:val="auto"/>
        </w:rPr>
        <w:t>We believe CTIM-76 has the potential to be a differentiated CLDN6 product candidate, due in part to: (i) its high selectivity for CLDN6 over Claudin 3 (“CLDN3”), Claudin 4 (“CLDN4”), and Claudin 9 (“CLDN9”); and (ii) its potential ability to target tumors with low, medium or high levels of CLDN6 expression, which could potentially result in a broader target population and greater commercial opportunity compared with other approaches.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Structure and Mechanism of Action</w:t>
      </w:r>
    </w:p>
    <w:p>
      <w:pPr>
        <w:spacing w:after="0" w:line="23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CLDN6 is an oncofetal protein that is normally present at higher levels during embryonic development. In normal, adult tissue, CLDN6 is turned off or has very low levels of expression due to epigenetic silencing. CLDN6 is thought to be reactivated by some cancers to adopt a more embryonic phenotype through the process of dedifferentiation.</w:t>
      </w:r>
    </w:p>
    <w:p>
      <w:pPr>
        <w:spacing w:after="0" w:line="20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8"/>
          <w:szCs w:val="18"/>
          <w:color w:val="auto"/>
        </w:rPr>
        <w:t>The structural complexity of CLDN6 and its similarity to other Claudin proteins expressed on healthy tissue, particularly CLDN3, CLDN4, and CLDN9, make selectivity a key development challenge that must be addressed by CLDN6-targeting assets in development.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preclinical data below illustrate that CTIM-76 is a highly selective and potent CLDN6 x CD3 TCE.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802005</wp:posOffset>
            </wp:positionV>
            <wp:extent cx="5119370" cy="2380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19370" cy="2380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w:t>
      </w:r>
    </w:p>
    <w:p>
      <w:pPr>
        <w:spacing w:after="0" w:line="238" w:lineRule="exact"/>
        <w:rPr>
          <w:sz w:val="20"/>
          <w:szCs w:val="20"/>
          <w:color w:val="auto"/>
        </w:rPr>
      </w:pPr>
    </w:p>
    <w:p>
      <w:pPr>
        <w:ind w:right="420"/>
        <w:spacing w:after="0" w:line="241" w:lineRule="auto"/>
        <w:rPr>
          <w:sz w:val="20"/>
          <w:szCs w:val="20"/>
          <w:color w:val="auto"/>
        </w:rPr>
      </w:pPr>
      <w:r>
        <w:rPr>
          <w:rFonts w:ascii="Times New Roman" w:cs="Times New Roman" w:eastAsia="Times New Roman" w:hAnsi="Times New Roman"/>
          <w:sz w:val="18"/>
          <w:szCs w:val="18"/>
          <w:color w:val="auto"/>
        </w:rPr>
        <w:t>There is a significant global opportunity for the treatment of patients with tumors expressing CLDN6. CLDN6 is overexpressed in several cancers with significant unmet needs, including ovarian, non-small cell lung, colon, endometrial, breast and testicular, with expression being highest in ovarian, endometrial, and testicular adenocarcinomas.</w:t>
      </w:r>
    </w:p>
    <w:p>
      <w:pPr>
        <w:spacing w:after="0" w:line="210"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18"/>
          <w:szCs w:val="18"/>
          <w:color w:val="auto"/>
        </w:rPr>
        <w:t>Estimated incidence information for annual new cancer cases in the United States and CLDN6 expression rates for certain cancers with significant unmet needs are shown below. We estimate that greater than 50,000 patients per year in the United States have CLDN6- positive relapse/refractory (“R/R”) disease.</w:t>
      </w:r>
    </w:p>
    <w:p>
      <w:pPr>
        <w:spacing w:after="0" w:line="202" w:lineRule="exact"/>
        <w:rPr>
          <w:sz w:val="20"/>
          <w:szCs w:val="20"/>
          <w:color w:val="auto"/>
        </w:rPr>
      </w:pPr>
    </w:p>
    <w:p>
      <w:pPr>
        <w:ind w:right="660"/>
        <w:spacing w:after="0" w:line="264" w:lineRule="auto"/>
        <w:rPr>
          <w:sz w:val="20"/>
          <w:szCs w:val="20"/>
          <w:color w:val="auto"/>
        </w:rPr>
      </w:pPr>
      <w:r>
        <w:rPr>
          <w:rFonts w:ascii="Times New Roman" w:cs="Times New Roman" w:eastAsia="Times New Roman" w:hAnsi="Times New Roman"/>
          <w:sz w:val="18"/>
          <w:szCs w:val="18"/>
          <w:color w:val="auto"/>
        </w:rPr>
        <w:t>Initial indications of interest are based on: (i) CLDN6 prevalence; (ii) patient population size; (iii) observed clinical responses; and (iv) potential for accelerated development.</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520" w:type="dxa"/>
            <w:vAlign w:val="bottom"/>
            <w:tcBorders>
              <w:top w:val="single" w:sz="8" w:color="auto"/>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Selected Cancer indications</w:t>
            </w:r>
          </w:p>
        </w:tc>
        <w:tc>
          <w:tcPr>
            <w:tcW w:w="1760" w:type="dxa"/>
            <w:vAlign w:val="bottom"/>
            <w:tcBorders>
              <w:top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Incidence</w:t>
            </w:r>
          </w:p>
        </w:tc>
        <w:tc>
          <w:tcPr>
            <w:tcW w:w="1740" w:type="dxa"/>
            <w:vAlign w:val="bottom"/>
            <w:tcBorders>
              <w:top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R/R Incidence</w:t>
            </w:r>
          </w:p>
        </w:tc>
        <w:tc>
          <w:tcPr>
            <w:tcW w:w="1740" w:type="dxa"/>
            <w:vAlign w:val="bottom"/>
            <w:tcBorders>
              <w:top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CLDN6 Positive</w:t>
            </w:r>
          </w:p>
        </w:tc>
        <w:tc>
          <w:tcPr>
            <w:tcW w:w="1760" w:type="dxa"/>
            <w:vAlign w:val="bottom"/>
            <w:tcBorders>
              <w:top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CLDN6</w:t>
            </w: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Patient Population</w:t>
            </w:r>
          </w:p>
        </w:tc>
      </w:tr>
      <w:tr>
        <w:trPr>
          <w:trHeight w:val="206"/>
        </w:trPr>
        <w:tc>
          <w:tcPr>
            <w:tcW w:w="2520" w:type="dxa"/>
            <w:vAlign w:val="bottom"/>
            <w:tcBorders>
              <w:left w:val="single" w:sz="8" w:color="auto"/>
              <w:right w:val="single" w:sz="8" w:color="auto"/>
            </w:tcBorders>
          </w:tcPr>
          <w:p>
            <w:pPr>
              <w:spacing w:after="0"/>
              <w:rPr>
                <w:sz w:val="17"/>
                <w:szCs w:val="17"/>
                <w:color w:val="auto"/>
              </w:rPr>
            </w:pPr>
          </w:p>
        </w:tc>
        <w:tc>
          <w:tcPr>
            <w:tcW w:w="1760" w:type="dxa"/>
            <w:vAlign w:val="bottom"/>
            <w:tcBorders>
              <w:right w:val="single" w:sz="8" w:color="auto"/>
            </w:tcBorders>
          </w:tcPr>
          <w:p>
            <w:pPr>
              <w:jc w:val="right"/>
              <w:ind w:right="410"/>
              <w:spacing w:after="0" w:line="206" w:lineRule="exact"/>
              <w:rPr>
                <w:sz w:val="20"/>
                <w:szCs w:val="20"/>
                <w:color w:val="auto"/>
              </w:rPr>
            </w:pPr>
            <w:r>
              <w:rPr>
                <w:rFonts w:ascii="Times New Roman" w:cs="Times New Roman" w:eastAsia="Times New Roman" w:hAnsi="Times New Roman"/>
                <w:sz w:val="18"/>
                <w:szCs w:val="18"/>
                <w:b w:val="1"/>
                <w:bCs w:val="1"/>
                <w:color w:val="auto"/>
              </w:rPr>
              <w:t>(US Only)</w:t>
            </w:r>
          </w:p>
        </w:tc>
        <w:tc>
          <w:tcPr>
            <w:tcW w:w="174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jc w:val="right"/>
              <w:ind w:right="410"/>
              <w:spacing w:after="0" w:line="206" w:lineRule="exact"/>
              <w:rPr>
                <w:sz w:val="20"/>
                <w:szCs w:val="20"/>
                <w:color w:val="auto"/>
              </w:rPr>
            </w:pPr>
            <w:r>
              <w:rPr>
                <w:rFonts w:ascii="Times New Roman" w:cs="Times New Roman" w:eastAsia="Times New Roman" w:hAnsi="Times New Roman"/>
                <w:sz w:val="18"/>
                <w:szCs w:val="18"/>
                <w:b w:val="1"/>
                <w:bCs w:val="1"/>
                <w:color w:val="auto"/>
              </w:rPr>
              <w:t>Med/High</w:t>
            </w:r>
          </w:p>
        </w:tc>
        <w:tc>
          <w:tcPr>
            <w:tcW w:w="174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Based on R/R</w:t>
            </w:r>
          </w:p>
        </w:tc>
      </w:tr>
      <w:tr>
        <w:trPr>
          <w:trHeight w:val="234"/>
        </w:trPr>
        <w:tc>
          <w:tcPr>
            <w:tcW w:w="25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Incidence</w:t>
            </w:r>
          </w:p>
        </w:tc>
      </w:tr>
      <w:tr>
        <w:trPr>
          <w:trHeight w:val="27"/>
        </w:trPr>
        <w:tc>
          <w:tcPr>
            <w:tcW w:w="25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49"/>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Ovarian</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74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3"/>
                <w:szCs w:val="23"/>
                <w:color w:val="auto"/>
                <w:vertAlign w:val="superscript"/>
              </w:rPr>
              <w:t>1</w:t>
            </w:r>
          </w:p>
        </w:tc>
        <w:tc>
          <w:tcPr>
            <w:tcW w:w="176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35%</w:t>
            </w:r>
            <w:r>
              <w:rPr>
                <w:rFonts w:ascii="Times New Roman" w:cs="Times New Roman" w:eastAsia="Times New Roman" w:hAnsi="Times New Roman"/>
                <w:sz w:val="23"/>
                <w:szCs w:val="23"/>
                <w:color w:val="auto"/>
                <w:vertAlign w:val="superscript"/>
              </w:rPr>
              <w:t>1</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9,600</w:t>
            </w:r>
          </w:p>
        </w:tc>
      </w:tr>
      <w:tr>
        <w:trPr>
          <w:trHeight w:val="249"/>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Endometrial</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65,900</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74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23"/>
                <w:szCs w:val="23"/>
                <w:color w:val="auto"/>
                <w:vertAlign w:val="superscript"/>
              </w:rPr>
              <w:t>1</w:t>
            </w:r>
          </w:p>
        </w:tc>
        <w:tc>
          <w:tcPr>
            <w:tcW w:w="176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23"/>
                <w:szCs w:val="23"/>
                <w:color w:val="auto"/>
                <w:vertAlign w:val="superscript"/>
              </w:rPr>
              <w:t>1</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49"/>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Testicular</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74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23"/>
                <w:szCs w:val="23"/>
                <w:color w:val="auto"/>
                <w:vertAlign w:val="superscript"/>
              </w:rPr>
              <w:t>3</w:t>
            </w:r>
          </w:p>
        </w:tc>
        <w:tc>
          <w:tcPr>
            <w:tcW w:w="176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&gt;95%</w:t>
            </w:r>
            <w:r>
              <w:rPr>
                <w:rFonts w:ascii="Times New Roman" w:cs="Times New Roman" w:eastAsia="Times New Roman" w:hAnsi="Times New Roman"/>
                <w:sz w:val="23"/>
                <w:szCs w:val="23"/>
                <w:color w:val="auto"/>
                <w:vertAlign w:val="superscript"/>
              </w:rPr>
              <w:t>3</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49"/>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Non-Small Cell Lung</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201,229</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110,653</w:t>
            </w:r>
          </w:p>
        </w:tc>
        <w:tc>
          <w:tcPr>
            <w:tcW w:w="174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26%</w:t>
            </w:r>
            <w:r>
              <w:rPr>
                <w:rFonts w:ascii="Times New Roman" w:cs="Times New Roman" w:eastAsia="Times New Roman" w:hAnsi="Times New Roman"/>
                <w:sz w:val="23"/>
                <w:szCs w:val="23"/>
                <w:color w:val="auto"/>
                <w:vertAlign w:val="superscript"/>
              </w:rPr>
              <w:t>2</w:t>
            </w:r>
          </w:p>
        </w:tc>
        <w:tc>
          <w:tcPr>
            <w:tcW w:w="176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23"/>
                <w:szCs w:val="23"/>
                <w:color w:val="auto"/>
                <w:vertAlign w:val="superscript"/>
              </w:rPr>
              <w:t>2</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28,769</w:t>
            </w:r>
          </w:p>
        </w:tc>
      </w:tr>
      <w:tr>
        <w:trPr>
          <w:trHeight w:val="249"/>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Colon</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152,810</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53,010</w:t>
            </w:r>
          </w:p>
        </w:tc>
        <w:tc>
          <w:tcPr>
            <w:tcW w:w="174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23"/>
                <w:szCs w:val="23"/>
                <w:color w:val="auto"/>
                <w:vertAlign w:val="superscript"/>
              </w:rPr>
              <w:t>3</w:t>
            </w:r>
          </w:p>
        </w:tc>
        <w:tc>
          <w:tcPr>
            <w:tcW w:w="176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23"/>
                <w:szCs w:val="23"/>
                <w:color w:val="auto"/>
                <w:vertAlign w:val="superscript"/>
              </w:rPr>
              <w:t>3</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22,794</w:t>
            </w:r>
          </w:p>
        </w:tc>
      </w:tr>
      <w:tr>
        <w:trPr>
          <w:trHeight w:val="249"/>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Breast</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290,600</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174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40%</w:t>
            </w:r>
            <w:r>
              <w:rPr>
                <w:rFonts w:ascii="Times New Roman" w:cs="Times New Roman" w:eastAsia="Times New Roman" w:hAnsi="Times New Roman"/>
                <w:sz w:val="23"/>
                <w:szCs w:val="23"/>
                <w:color w:val="auto"/>
                <w:vertAlign w:val="superscript"/>
              </w:rPr>
              <w:t>3</w:t>
            </w:r>
          </w:p>
        </w:tc>
        <w:tc>
          <w:tcPr>
            <w:tcW w:w="176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23"/>
                <w:szCs w:val="23"/>
                <w:color w:val="auto"/>
                <w:vertAlign w:val="superscript"/>
              </w:rPr>
              <w:t>3</w:t>
            </w:r>
          </w:p>
        </w:tc>
        <w:tc>
          <w:tcPr>
            <w:tcW w:w="1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17,520</w:t>
            </w:r>
          </w:p>
        </w:tc>
      </w:tr>
    </w:tbl>
    <w:p>
      <w:pPr>
        <w:spacing w:after="0" w:line="300" w:lineRule="exact"/>
        <w:rPr>
          <w:sz w:val="20"/>
          <w:szCs w:val="20"/>
          <w:color w:val="auto"/>
        </w:rPr>
      </w:pPr>
    </w:p>
    <w:p>
      <w:pPr>
        <w:ind w:left="340" w:right="12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Context internal Phase 1 data;</w:t>
      </w:r>
      <w:r>
        <w:rPr>
          <w:rFonts w:ascii="Times New Roman" w:cs="Times New Roman" w:eastAsia="Times New Roman" w:hAnsi="Times New Roman"/>
          <w:sz w:val="18"/>
          <w:szCs w:val="18"/>
          <w:b w:val="1"/>
          <w:bCs w:val="1"/>
          <w:color w:val="auto"/>
        </w:rPr>
        <w:t xml:space="preserve"> 2 </w:t>
      </w:r>
      <w:r>
        <w:rPr>
          <w:rFonts w:ascii="Times New Roman" w:cs="Times New Roman" w:eastAsia="Times New Roman" w:hAnsi="Times New Roman"/>
          <w:sz w:val="18"/>
          <w:szCs w:val="18"/>
          <w:color w:val="auto"/>
        </w:rPr>
        <w:t>Context internal biopsy prevalence screen data;</w:t>
      </w:r>
      <w:r>
        <w:rPr>
          <w:rFonts w:ascii="Times New Roman" w:cs="Times New Roman" w:eastAsia="Times New Roman" w:hAnsi="Times New Roman"/>
          <w:sz w:val="18"/>
          <w:szCs w:val="18"/>
          <w:b w:val="1"/>
          <w:bCs w:val="1"/>
          <w:color w:val="auto"/>
        </w:rPr>
        <w:t xml:space="preserve"> 3 </w:t>
      </w:r>
      <w:r>
        <w:rPr>
          <w:rFonts w:ascii="Times New Roman" w:cs="Times New Roman" w:eastAsia="Times New Roman" w:hAnsi="Times New Roman"/>
          <w:sz w:val="18"/>
          <w:szCs w:val="18"/>
          <w:color w:val="auto"/>
        </w:rPr>
        <w:t>Mackensen, Nature Medicine, 2023. Incidences based on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R/R or last-line patient population approximated by annual mortality; CLDN6 target prevalence is based on IHC or RNAseq from published reports. Patient population derived from midpoint of CLDN6 positive population multiplied by R/R incident population.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Validation of the Target and Potential for Broader Patient Population</w:t>
      </w:r>
    </w:p>
    <w:p>
      <w:pPr>
        <w:spacing w:after="0" w:line="238"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Based on clinical data reported for other therapeutic agents targeting CLDN6, including BioNTech (BNT211), TORL (TORL-1-23), and Daiichi Sankyo (DS9606a), in various phases of clinical development, including ADC and CAR T-cell approaches, we believe this target has been clinically validated. Whereas both ADC and CAR T-cell anti-CLDN6 approaches have required a substantial portion of tumor cells with high expression of CLDN6 for anti-</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189230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color w:val="auto"/>
        </w:rPr>
        <w:t>tumor activity, we believe a T cell engager approach could potentially target tumors with varying levels of CLDN6 expression, including tumors with low levels of expression. Therefore, CTIM-76 could potentially capture a broader patient population and greater commercial opportunity.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Plan</w:t>
      </w:r>
    </w:p>
    <w:p>
      <w:pPr>
        <w:spacing w:after="0" w:line="23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We have an active IND for CTIM-76 with the FDA. In January 2025, we announced that the first patient had been dosed in the CTIM-76 Phase 1 clinical trial, which is a dose escalation and expansion trial in patients with solid tumors likely to express CLDN6. In the dose escalation part of our Phase 1 trial, we are enrolling patients with advanced unresectable or metastatic ovarian, endometrial or testicular cancer in increasing dose levels. The primary objective in dose escalation is to evaluate the safety and tolerability of CTIM-76. In the expansion part of our Phase 1 trial, we plan to evaluate two doses and at least two dose schedules in a single cancer type based upon dose escalation data. The primary objective in expansion will be to evaluate preliminary anti-tumor activity of CTIM-76 and to select a dose and dose schedule for future trials. CLDN6 expression is required for enrollment in our Phase 1 trial for patients with ovarian and endometrial cancer. Due to high CLDN6 expression, prospective screening for testicular cancer is not required.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Mesothelin x CD3 TCE program: CT-95</w:t>
      </w:r>
    </w:p>
    <w:p>
      <w:pPr>
        <w:spacing w:after="0" w:line="16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Our clinical product candidate, CT-95, is an MSLN x CD3 TCE that is intended to redirect T-cell-mediated lysis toward malignant cells expressing MSLN. MSLN is a membrane protein overexpressed in approximately 30% of cancers. One challenge in developing MSLN-targeted therapies has been the presence of MSLN fragments, also referred to as shed MSLN (“sMSLN”), found in both blood and the tumor microenvironment that can serve as a decoy or sink for MSLN-targeting antibodies. CT-95 is a fully humanized bispecific T cell engager that has a moderate affinity but high avidity for membrane-bound MSLN, minimizing the impact of the sMSLN.</w:t>
      </w:r>
    </w:p>
    <w:p>
      <w:pPr>
        <w:spacing w:after="0" w:line="21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We believe CT-95 has the potential to be a differentiated MSLN product candidate, due in part to: (i) its ability to bind to the membrane-proximal side of MSLN, which has been shown to increase potency compared to a historic program from Harpoon Therapeutics (HPN536), potentially driving improved outcomes for patients; (ii) avidity enhancement that aims to minimize the risk of adverse events, including cytokine release syndrome and hypoxia; and (iii) its potential ability to target tumors with low, medium or high levels of MSLN expression, which could potentially result in a broader target population and greater commercial opportunity compared with non-TCE approaches.</w:t>
      </w:r>
    </w:p>
    <w:p>
      <w:pPr>
        <w:spacing w:after="0" w:line="21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On July 9, 2024, we entered into an asset purchase agreement (the “Asset Purchase Agreement”) pursuant to which we acquired CT-95 (formerly known as LNK-101), from Link (assignment for the benefit of creditors), LLC (“Link”), which succeeded to the assets of Link Immunotherapeutics Inc. The FDA previously cleared the IND application for CT-95.</w:t>
      </w:r>
    </w:p>
    <w:p>
      <w:pPr>
        <w:spacing w:after="0" w:line="202"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8"/>
          <w:szCs w:val="18"/>
          <w:color w:val="auto"/>
        </w:rPr>
        <w:t>Pursuant to the Asset Purchase Agreement, we purchased the assets of Link associated with CT-95, including patent rights, know-how, regulatory filings, and inventory of drug substance and drug product (the “Transferred Assets”), on an “as is” and “where is” basis. CT-95 patents are currently being prosecuted and/or maintained in the United States, Europe, Canada, Australia, Japan and Taiwan. We also assumed certain liabilities relating to the Transferred Assets. In consideration of the Transferred Assets, we made a one-time payment to Link of $3.75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Structure and Mechanism of Action</w:t>
      </w:r>
    </w:p>
    <w:p>
      <w:pPr>
        <w:spacing w:after="0" w:line="238"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MSLN is bound to tumor cells via a glycosylphosphatidylinositol (“GPI”) linker. Like many GPI-anchored proteins, MSLN can be cut into smaller fragments. The MSLN gene encodes a precursor that is cleaved into two products: a soluble N-terminal protein called megakaryocyte potentiating factor (MPF), and a membrane-bound fragment called full length mesothelin (“FL-MSLN”). FL-MSLN can then be further cleaved into even smaller sMSLN fragments. sMSLN serves as a competitive sink, preventing antibodies from binding to the tumor, which can lead to suboptimal drug exposure and efficacy.</w:t>
      </w:r>
    </w:p>
    <w:p>
      <w:pPr>
        <w:spacing w:after="0" w:line="178"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8"/>
          <w:szCs w:val="18"/>
          <w:color w:val="auto"/>
        </w:rPr>
        <w:t>CT-95 was designed to overcome the sMSLN sink through binding to membrane-proximal MSLN epitope and avidity enhancement. CT-95 exhibits moderate affinity for membrane-proximal MSLN but cooperative binding through bivalent binding of CT-95 to two MSLN epitopes results in high avidity binding of CT-95 to the tumor.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8"/>
          <w:szCs w:val="18"/>
          <w:color w:val="auto"/>
        </w:rPr>
        <w:t>results in a potentially wide therapeutic window due to: (i) limited crosslinking by sMSLN, mitigating off-tumor T cell activation; and (ii) cooperative binding of MSLN on tumor surface to crosslink CD3, thereby activating T cells.</w:t>
      </w:r>
    </w:p>
    <w:p>
      <w:pPr>
        <w:spacing w:after="0" w:line="190"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color w:val="auto"/>
        </w:rPr>
        <w:t>The figure below indicates that HPN-536 (Harpoon Therapeutics) binds to MSLN fragments in a dose proportional manner, limiting therapeutic exposure, whereas CT-95 does not lose potency in the same OVCAR-3 cell line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5119370" cy="16294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19370"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w:t>
      </w:r>
    </w:p>
    <w:p>
      <w:pPr>
        <w:spacing w:after="0" w:line="238"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There is a significant global opportunity for the treatment of patients with tumors expressing MSLN. MSLN is overexpressed in several cancers with significant unmet needs, high grade serous ovarian, non-small cell lung, colon, esophageal, pancreatic carcinoma, endometrial, gastric, and mesothelioma, with expression being highest in high-grade serous ovarian cancer, pancreatic carcinoma, and mesothelioma.</w:t>
      </w:r>
    </w:p>
    <w:p>
      <w:pPr>
        <w:spacing w:after="0" w:line="202"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8"/>
          <w:szCs w:val="18"/>
          <w:color w:val="auto"/>
        </w:rPr>
        <w:t>Estimated incidence information for annual new cancer cases in the United States and MSLN expression rates for certain cancers with significant unmet needs are shown below. We estimate that greater than 100,000 patients per year in the United States have mesothelin-positive R/R disease.</w:t>
      </w:r>
    </w:p>
    <w:p>
      <w:pPr>
        <w:spacing w:after="0" w:line="190" w:lineRule="exact"/>
        <w:rPr>
          <w:sz w:val="20"/>
          <w:szCs w:val="20"/>
          <w:color w:val="auto"/>
        </w:rPr>
      </w:pPr>
    </w:p>
    <w:p>
      <w:pPr>
        <w:ind w:right="680"/>
        <w:spacing w:after="0" w:line="264" w:lineRule="auto"/>
        <w:rPr>
          <w:sz w:val="20"/>
          <w:szCs w:val="20"/>
          <w:color w:val="auto"/>
        </w:rPr>
      </w:pPr>
      <w:r>
        <w:rPr>
          <w:rFonts w:ascii="Times New Roman" w:cs="Times New Roman" w:eastAsia="Times New Roman" w:hAnsi="Times New Roman"/>
          <w:sz w:val="18"/>
          <w:szCs w:val="18"/>
          <w:color w:val="auto"/>
        </w:rPr>
        <w:t>Initial indications of interest are based on: (i) MSLN prevalence; (ii) patient population size; (iii) observed clinical responses; and (iv) potential for accelerated development.</w:t>
      </w:r>
    </w:p>
    <w:p>
      <w:pPr>
        <w:spacing w:after="0" w:line="200" w:lineRule="exact"/>
        <w:rPr>
          <w:sz w:val="20"/>
          <w:szCs w:val="20"/>
          <w:color w:val="auto"/>
        </w:rPr>
      </w:pP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740" w:type="dxa"/>
            <w:vAlign w:val="bottom"/>
            <w:tcBorders>
              <w:top w:val="single" w:sz="8" w:color="auto"/>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Selected Cancer indications</w:t>
            </w:r>
          </w:p>
        </w:tc>
        <w:tc>
          <w:tcPr>
            <w:tcW w:w="1380" w:type="dxa"/>
            <w:vAlign w:val="bottom"/>
            <w:tcBorders>
              <w:top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Incidence (US</w:t>
            </w:r>
          </w:p>
        </w:tc>
        <w:tc>
          <w:tcPr>
            <w:tcW w:w="1840" w:type="dxa"/>
            <w:vAlign w:val="bottom"/>
            <w:tcBorders>
              <w:top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R/R Incidence</w:t>
            </w:r>
          </w:p>
        </w:tc>
        <w:tc>
          <w:tcPr>
            <w:tcW w:w="1600" w:type="dxa"/>
            <w:vAlign w:val="bottom"/>
            <w:tcBorders>
              <w:top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MSLN Positive</w:t>
            </w:r>
          </w:p>
        </w:tc>
        <w:tc>
          <w:tcPr>
            <w:tcW w:w="1220" w:type="dxa"/>
            <w:vAlign w:val="bottom"/>
            <w:tcBorders>
              <w:top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MSLN</w:t>
            </w:r>
          </w:p>
        </w:tc>
        <w:tc>
          <w:tcPr>
            <w:tcW w:w="1820" w:type="dxa"/>
            <w:vAlign w:val="bottom"/>
            <w:tcBorders>
              <w:top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Patient Population</w:t>
            </w:r>
          </w:p>
        </w:tc>
      </w:tr>
      <w:tr>
        <w:trPr>
          <w:trHeight w:val="238"/>
        </w:trPr>
        <w:tc>
          <w:tcPr>
            <w:tcW w:w="2740" w:type="dxa"/>
            <w:vAlign w:val="bottom"/>
            <w:tcBorders>
              <w:left w:val="single" w:sz="8" w:color="auto"/>
              <w:right w:val="single" w:sz="8" w:color="auto"/>
            </w:tcBorders>
          </w:tcPr>
          <w:p>
            <w:pPr>
              <w:spacing w:after="0"/>
              <w:rPr>
                <w:sz w:val="20"/>
                <w:szCs w:val="20"/>
                <w:color w:val="auto"/>
              </w:rPr>
            </w:pPr>
          </w:p>
        </w:tc>
        <w:tc>
          <w:tcPr>
            <w:tcW w:w="1380" w:type="dxa"/>
            <w:vAlign w:val="bottom"/>
            <w:tcBorders>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Only)</w:t>
            </w:r>
          </w:p>
        </w:tc>
        <w:tc>
          <w:tcPr>
            <w:tcW w:w="184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Med/High</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Based on R/R Incidence</w:t>
            </w:r>
          </w:p>
        </w:tc>
      </w:tr>
      <w:tr>
        <w:trPr>
          <w:trHeight w:val="27"/>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27"/>
        </w:trPr>
        <w:tc>
          <w:tcPr>
            <w:tcW w:w="2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Non-Small Cell Lung</w:t>
            </w:r>
          </w:p>
        </w:tc>
        <w:tc>
          <w:tcPr>
            <w:tcW w:w="1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201,229</w:t>
            </w:r>
          </w:p>
        </w:tc>
        <w:tc>
          <w:tcPr>
            <w:tcW w:w="1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110,653</w:t>
            </w:r>
          </w:p>
        </w:tc>
        <w:tc>
          <w:tcPr>
            <w:tcW w:w="1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60,859</w:t>
            </w:r>
          </w:p>
        </w:tc>
      </w:tr>
      <w:tr>
        <w:trPr>
          <w:trHeight w:val="22"/>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Pancreatic</w:t>
            </w:r>
          </w:p>
        </w:tc>
        <w:tc>
          <w:tcPr>
            <w:tcW w:w="1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66,440</w:t>
            </w:r>
          </w:p>
        </w:tc>
        <w:tc>
          <w:tcPr>
            <w:tcW w:w="1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51,750</w:t>
            </w:r>
          </w:p>
        </w:tc>
        <w:tc>
          <w:tcPr>
            <w:tcW w:w="1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41,400</w:t>
            </w:r>
          </w:p>
        </w:tc>
      </w:tr>
      <w:tr>
        <w:trPr>
          <w:trHeight w:val="22"/>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Colon</w:t>
            </w:r>
          </w:p>
        </w:tc>
        <w:tc>
          <w:tcPr>
            <w:tcW w:w="1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152,810</w:t>
            </w:r>
          </w:p>
        </w:tc>
        <w:tc>
          <w:tcPr>
            <w:tcW w:w="1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53,010</w:t>
            </w:r>
          </w:p>
        </w:tc>
        <w:tc>
          <w:tcPr>
            <w:tcW w:w="1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21,734</w:t>
            </w:r>
          </w:p>
        </w:tc>
      </w:tr>
      <w:tr>
        <w:trPr>
          <w:trHeight w:val="22"/>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Ovarian</w:t>
            </w:r>
          </w:p>
        </w:tc>
        <w:tc>
          <w:tcPr>
            <w:tcW w:w="1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11,520</w:t>
            </w:r>
          </w:p>
        </w:tc>
      </w:tr>
      <w:tr>
        <w:trPr>
          <w:trHeight w:val="22"/>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Mesothelioma</w:t>
            </w:r>
          </w:p>
        </w:tc>
        <w:tc>
          <w:tcPr>
            <w:tcW w:w="1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Esophageal</w:t>
            </w:r>
          </w:p>
        </w:tc>
        <w:tc>
          <w:tcPr>
            <w:tcW w:w="1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22,370</w:t>
            </w:r>
          </w:p>
        </w:tc>
        <w:tc>
          <w:tcPr>
            <w:tcW w:w="1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16,130</w:t>
            </w:r>
          </w:p>
        </w:tc>
        <w:tc>
          <w:tcPr>
            <w:tcW w:w="1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6,613</w:t>
            </w:r>
          </w:p>
        </w:tc>
      </w:tr>
      <w:tr>
        <w:trPr>
          <w:trHeight w:val="22"/>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Endometrial</w:t>
            </w:r>
          </w:p>
        </w:tc>
        <w:tc>
          <w:tcPr>
            <w:tcW w:w="1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65,900</w:t>
            </w:r>
          </w:p>
        </w:tc>
        <w:tc>
          <w:tcPr>
            <w:tcW w:w="1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w:t>
            </w:r>
          </w:p>
        </w:tc>
      </w:tr>
      <w:tr>
        <w:trPr>
          <w:trHeight w:val="22"/>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7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Gastric</w:t>
            </w:r>
          </w:p>
        </w:tc>
        <w:tc>
          <w:tcPr>
            <w:tcW w:w="1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26,380</w:t>
            </w:r>
          </w:p>
        </w:tc>
        <w:tc>
          <w:tcPr>
            <w:tcW w:w="1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1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5,434</w:t>
            </w:r>
          </w:p>
        </w:tc>
      </w:tr>
      <w:tr>
        <w:trPr>
          <w:trHeight w:val="22"/>
        </w:trPr>
        <w:tc>
          <w:tcPr>
            <w:tcW w:w="2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340"/>
        <w:spacing w:after="0" w:line="264" w:lineRule="auto"/>
        <w:rPr>
          <w:sz w:val="20"/>
          <w:szCs w:val="20"/>
          <w:color w:val="auto"/>
        </w:rPr>
      </w:pPr>
      <w:r>
        <w:rPr>
          <w:rFonts w:ascii="Times New Roman" w:cs="Times New Roman" w:eastAsia="Times New Roman" w:hAnsi="Times New Roman"/>
          <w:sz w:val="18"/>
          <w:szCs w:val="18"/>
          <w:color w:val="auto"/>
        </w:rPr>
        <w:t>Incidences based on public estimates; R/R or last-line patient population approximated by annual mortality; MSLN target prevalence is based on Simon et al, Biomedicines, 2021. Patient population derived from MSLN positive population multiplied by R/R incident population.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Validation of the Target and Potential for Broader Patient Population</w:t>
      </w:r>
    </w:p>
    <w:p>
      <w:pPr>
        <w:spacing w:after="0" w:line="238" w:lineRule="exact"/>
        <w:rPr>
          <w:sz w:val="20"/>
          <w:szCs w:val="20"/>
          <w:color w:val="auto"/>
        </w:rPr>
      </w:pPr>
    </w:p>
    <w:p>
      <w:pPr>
        <w:ind w:right="980"/>
        <w:spacing w:after="0" w:line="264" w:lineRule="auto"/>
        <w:rPr>
          <w:sz w:val="20"/>
          <w:szCs w:val="20"/>
          <w:color w:val="auto"/>
        </w:rPr>
      </w:pPr>
      <w:r>
        <w:rPr>
          <w:rFonts w:ascii="Times New Roman" w:cs="Times New Roman" w:eastAsia="Times New Roman" w:hAnsi="Times New Roman"/>
          <w:sz w:val="18"/>
          <w:szCs w:val="18"/>
          <w:color w:val="auto"/>
        </w:rPr>
        <w:t>Based on clinical data reported for other therapeutic agents targeting MSLN, including RemeGen Biosciences (RC88) and TCR2 Therapeutics (gavocabtagene autoleucel), in various phases of clinical development, including</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189230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8"/>
          <w:szCs w:val="18"/>
          <w:color w:val="auto"/>
        </w:rPr>
        <w:t>ADC and CAR T-cell approaches, we believe this target has been clinically validated. Whereas both ADC and CAR T-cell anti-MSLN approaches have required a substantial portion of tumor cells with high expression of MSLN for anti-tumor activity, we believe a T cell engager approach could potentially target tumors with varying levels of MSLN expression, including tumors with low levels of expression. Therefore, MSLN could potentially capture a broader patient population and greater commercial opportunity.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Plan</w:t>
      </w:r>
    </w:p>
    <w:p>
      <w:pPr>
        <w:spacing w:after="0" w:line="238"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We have an active IND for CT-95 with the FDA. In April 2025, we announced that the first patient had been dosed in the CT-95 Phase 1 trial, which is a dose escalation trial in patients with solid tumors likely to express MSLN. We are enrolling patients with advanced unresectable or metastatic high grade serous ovarian cancer, pancreatic carcinoma, and mesothelioma. The primary objective in dose escalation is to evaluate the safety and tolerability of CT-95. Expression of MSLN is not required for enrollment in our Phase 1 trial; tumor tissue samples are being collected for retrospective biomarker assessment of MSLN expression by immunohistochemistry (“IHC”).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Nectin-4 x CD3 TCE program: CT-202</w:t>
      </w:r>
    </w:p>
    <w:p>
      <w:pPr>
        <w:spacing w:after="0" w:line="240" w:lineRule="exact"/>
        <w:rPr>
          <w:sz w:val="20"/>
          <w:szCs w:val="20"/>
          <w:color w:val="auto"/>
        </w:rPr>
      </w:pPr>
    </w:p>
    <w:p>
      <w:pPr>
        <w:jc w:val="both"/>
        <w:ind w:right="220"/>
        <w:spacing w:after="0" w:line="249" w:lineRule="auto"/>
        <w:rPr>
          <w:sz w:val="20"/>
          <w:szCs w:val="20"/>
          <w:color w:val="auto"/>
        </w:rPr>
      </w:pPr>
      <w:r>
        <w:rPr>
          <w:rFonts w:ascii="Times New Roman" w:cs="Times New Roman" w:eastAsia="Times New Roman" w:hAnsi="Times New Roman"/>
          <w:sz w:val="18"/>
          <w:szCs w:val="18"/>
          <w:color w:val="auto"/>
        </w:rPr>
        <w:t>Our preclinical product candidate, CT-202, targets Nectin-4, which is highly and frequently overexpressed in a variety of cancers. Nectin-4 is a clinically-validated target for cancer therapy using a traditional antibody-drug conjugate, but it is also associated with certain adverse events, including neuropathy and rash. CT-202 is a pH-dependent TCE that is designed to be preferentially active within the acidic tumor microenvironment.</w:t>
      </w:r>
    </w:p>
    <w:p>
      <w:pPr>
        <w:spacing w:after="0" w:line="202"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18"/>
          <w:szCs w:val="18"/>
          <w:color w:val="auto"/>
        </w:rPr>
        <w:t>On September 23, 2024, we entered into a license agreement (the “BioAtla License Agreement”) with BioAtla, Inc. ("BioAtla"), pursuant to which we obtained an exclusive, worldwide license to develop, manufacture and commercialize two licensed antibodies (the “BioAtla Assets”), including BA3362 (renamed by the Company as CT-202), BioAtla’s Nectin-4 x CD3 TCE.</w:t>
      </w:r>
    </w:p>
    <w:p>
      <w:pPr>
        <w:spacing w:after="0" w:line="20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As partial consideration for the exclusive license under the BioAtla License Agreement, we made an upfront payment of $11.0 million, and BioAtla is eligible to receive up to $122.5 million in additional milestone payments based upon the achievement of specified pre-clinical, clinical, development and commercial milestones, as well as tiered mid-single-digit to low double-digit royalties on future net sales for products containing the BioAtla Assets, subject to standard reductions.</w:t>
      </w:r>
    </w:p>
    <w:p>
      <w:pPr>
        <w:spacing w:after="0" w:line="210" w:lineRule="exact"/>
        <w:rPr>
          <w:sz w:val="20"/>
          <w:szCs w:val="20"/>
          <w:color w:val="auto"/>
        </w:rPr>
      </w:pPr>
    </w:p>
    <w:p>
      <w:pPr>
        <w:ind w:right="300"/>
        <w:spacing w:after="0" w:line="241" w:lineRule="auto"/>
        <w:rPr>
          <w:sz w:val="20"/>
          <w:szCs w:val="20"/>
          <w:color w:val="auto"/>
        </w:rPr>
      </w:pPr>
      <w:r>
        <w:rPr>
          <w:rFonts w:ascii="Times New Roman" w:cs="Times New Roman" w:eastAsia="Times New Roman" w:hAnsi="Times New Roman"/>
          <w:sz w:val="18"/>
          <w:szCs w:val="18"/>
          <w:color w:val="auto"/>
        </w:rPr>
        <w:t>We believe CT-202 has the potential to be a differentiated Nectin-4 product candidate, due in part to: (i) its ability to preferentially bind to Nectin-4 and CD3 in the low pH environment of tumor relative to pH neutral normal tissue, which has the potential to reduce the risk of dermatologic side effects associated with Nectin-4 expression in the skin; (ii) avidity enhancement to improve CT-202 residence in the tumor microenvironment and minimize the risk of cytokine release syndrome; and (iii) its potential ability to target tumors with low, medium or high levels of Nectin-4 expression, which could potentially result in a broader target population and greater commercial opportunity compared with non-TCE approaches.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Structure and Mechanism of Action</w:t>
      </w:r>
    </w:p>
    <w:p>
      <w:pPr>
        <w:spacing w:after="0" w:line="238"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8"/>
          <w:szCs w:val="18"/>
          <w:color w:val="auto"/>
        </w:rPr>
        <w:t>CT-202 incorporates logic gating through pH dependence and avidity enhancement which is intended to spare Nectin-4 in normal tissue. Because of its expression in healthy epidermal keratinocytes, sweat glands, and hair follicles, Nectin-4 targeted treatments are often associated with dermatological side effects. CT-202 incorporates pH dependent binding to both Nectin-4 and CD3 to minimize binding to healthy tissues and maximize binding and T cell activation within the tumor microenvironment.</w:t>
      </w:r>
    </w:p>
    <w:p>
      <w:pPr>
        <w:spacing w:after="0" w:line="210" w:lineRule="exact"/>
        <w:rPr>
          <w:sz w:val="20"/>
          <w:szCs w:val="20"/>
          <w:color w:val="auto"/>
        </w:rPr>
      </w:pPr>
    </w:p>
    <w:p>
      <w:pPr>
        <w:jc w:val="both"/>
        <w:ind w:right="60"/>
        <w:spacing w:after="0" w:line="241" w:lineRule="auto"/>
        <w:rPr>
          <w:sz w:val="20"/>
          <w:szCs w:val="20"/>
          <w:color w:val="auto"/>
        </w:rPr>
      </w:pPr>
      <w:r>
        <w:rPr>
          <w:rFonts w:ascii="Times New Roman" w:cs="Times New Roman" w:eastAsia="Times New Roman" w:hAnsi="Times New Roman"/>
          <w:sz w:val="18"/>
          <w:szCs w:val="18"/>
          <w:color w:val="auto"/>
        </w:rPr>
        <w:t>CT-202 is avidity optimized to mitigate cytokine release syndrome risk. Cooperative Nectin-4 binding through bivalent binding to the tumor cell surface is intended to reduce T cell crosslinking in the absence of target. Steric hindrance of CD3 binding by Fc domain prevents T cell crosslinking by single CT-202 molecules.</w:t>
      </w:r>
    </w:p>
    <w:p>
      <w:pPr>
        <w:spacing w:after="0" w:line="210"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color w:val="auto"/>
        </w:rPr>
        <w:t>The figure below indicates our two-pronged approach for CT-202 to overcome Nectin-4 expression in the skin and to generate robust antitumor responses while minimizing the risk of cytokine release syndrome.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802005</wp:posOffset>
            </wp:positionV>
            <wp:extent cx="5119370" cy="2423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19370"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i w:val="1"/>
          <w:iCs w:val="1"/>
          <w:color w:val="auto"/>
        </w:rPr>
        <w:t>1 Chang, PNAS, 2021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Opportunity</w:t>
      </w:r>
    </w:p>
    <w:p>
      <w:pPr>
        <w:spacing w:after="0" w:line="238" w:lineRule="exact"/>
        <w:rPr>
          <w:sz w:val="20"/>
          <w:szCs w:val="20"/>
          <w:color w:val="auto"/>
        </w:rPr>
      </w:pPr>
    </w:p>
    <w:p>
      <w:pPr>
        <w:jc w:val="both"/>
        <w:ind w:right="160"/>
        <w:spacing w:after="0" w:line="241" w:lineRule="auto"/>
        <w:rPr>
          <w:sz w:val="20"/>
          <w:szCs w:val="20"/>
          <w:color w:val="auto"/>
        </w:rPr>
      </w:pPr>
      <w:r>
        <w:rPr>
          <w:rFonts w:ascii="Times New Roman" w:cs="Times New Roman" w:eastAsia="Times New Roman" w:hAnsi="Times New Roman"/>
          <w:sz w:val="18"/>
          <w:szCs w:val="18"/>
          <w:color w:val="auto"/>
        </w:rPr>
        <w:t>There is a significant global opportunity for the treatment of patients with tumors expressing Nectin-4. Nectin-4 is overexpressed in several cancers with significant unmet needs, including bladder (urothelial), non-small cell lung, pancreatic, head and neck, esophageal, colorectal, gastric, and triple negative breast cancer (“TNBC”), with expression being highest in bladder, colorectal, and TNBC.</w:t>
      </w:r>
    </w:p>
    <w:p>
      <w:pPr>
        <w:spacing w:after="0" w:line="21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Estimated incidence information for annual new cancer cases in the United States and Nectin-4 expression rates for certain cancers with significant unmet needs are shown below. We estimate that greater than 125,000 patients per year in the United States have Nectin-4- positive R/R disease. Initial indications of interest are based on: (i) Nectin-4 prevalence; (ii) patient population size; and (iii) observed clinical responses.</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520" w:type="dxa"/>
            <w:vAlign w:val="bottom"/>
            <w:tcBorders>
              <w:top w:val="single" w:sz="8" w:color="auto"/>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Selected Cancer indications</w:t>
            </w:r>
          </w:p>
        </w:tc>
        <w:tc>
          <w:tcPr>
            <w:tcW w:w="1760" w:type="dxa"/>
            <w:vAlign w:val="bottom"/>
            <w:tcBorders>
              <w:top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Incidence</w:t>
            </w:r>
          </w:p>
        </w:tc>
        <w:tc>
          <w:tcPr>
            <w:tcW w:w="1760" w:type="dxa"/>
            <w:vAlign w:val="bottom"/>
            <w:tcBorders>
              <w:top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R/R Incidence</w:t>
            </w:r>
          </w:p>
        </w:tc>
        <w:tc>
          <w:tcPr>
            <w:tcW w:w="1760" w:type="dxa"/>
            <w:vAlign w:val="bottom"/>
            <w:tcBorders>
              <w:top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Nectin-4 Positive</w:t>
            </w:r>
          </w:p>
        </w:tc>
        <w:tc>
          <w:tcPr>
            <w:tcW w:w="1240" w:type="dxa"/>
            <w:vAlign w:val="bottom"/>
            <w:tcBorders>
              <w:top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Nectin-4</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Patient Population</w:t>
            </w:r>
          </w:p>
        </w:tc>
      </w:tr>
      <w:tr>
        <w:trPr>
          <w:trHeight w:val="202"/>
        </w:trPr>
        <w:tc>
          <w:tcPr>
            <w:tcW w:w="2520" w:type="dxa"/>
            <w:vAlign w:val="bottom"/>
            <w:tcBorders>
              <w:left w:val="single" w:sz="8" w:color="auto"/>
              <w:right w:val="single" w:sz="8" w:color="auto"/>
            </w:tcBorders>
          </w:tcPr>
          <w:p>
            <w:pPr>
              <w:spacing w:after="0"/>
              <w:rPr>
                <w:sz w:val="17"/>
                <w:szCs w:val="17"/>
                <w:color w:val="auto"/>
              </w:rPr>
            </w:pPr>
          </w:p>
        </w:tc>
        <w:tc>
          <w:tcPr>
            <w:tcW w:w="1760" w:type="dxa"/>
            <w:vAlign w:val="bottom"/>
            <w:tcBorders>
              <w:right w:val="single" w:sz="8" w:color="auto"/>
            </w:tcBorders>
          </w:tcPr>
          <w:p>
            <w:pPr>
              <w:jc w:val="right"/>
              <w:ind w:right="410"/>
              <w:spacing w:after="0" w:line="201" w:lineRule="exact"/>
              <w:rPr>
                <w:sz w:val="20"/>
                <w:szCs w:val="20"/>
                <w:color w:val="auto"/>
              </w:rPr>
            </w:pPr>
            <w:r>
              <w:rPr>
                <w:rFonts w:ascii="Times New Roman" w:cs="Times New Roman" w:eastAsia="Times New Roman" w:hAnsi="Times New Roman"/>
                <w:sz w:val="18"/>
                <w:szCs w:val="18"/>
                <w:b w:val="1"/>
                <w:bCs w:val="1"/>
                <w:color w:val="auto"/>
              </w:rPr>
              <w:t>(US Only)</w:t>
            </w:r>
          </w:p>
        </w:tc>
        <w:tc>
          <w:tcPr>
            <w:tcW w:w="176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Med/High</w:t>
            </w:r>
          </w:p>
        </w:tc>
        <w:tc>
          <w:tcPr>
            <w:tcW w:w="178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Based on R/R</w:t>
            </w:r>
          </w:p>
        </w:tc>
      </w:tr>
      <w:tr>
        <w:trPr>
          <w:trHeight w:val="238"/>
        </w:trPr>
        <w:tc>
          <w:tcPr>
            <w:tcW w:w="252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Incidence</w:t>
            </w:r>
          </w:p>
        </w:tc>
      </w:tr>
      <w:tr>
        <w:trPr>
          <w:trHeight w:val="27"/>
        </w:trPr>
        <w:tc>
          <w:tcPr>
            <w:tcW w:w="252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49"/>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Colon</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152,810</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53,010</w:t>
            </w:r>
          </w:p>
        </w:tc>
        <w:tc>
          <w:tcPr>
            <w:tcW w:w="176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87%</w:t>
            </w:r>
            <w:r>
              <w:rPr>
                <w:rFonts w:ascii="Times New Roman" w:cs="Times New Roman" w:eastAsia="Times New Roman" w:hAnsi="Times New Roman"/>
                <w:sz w:val="23"/>
                <w:szCs w:val="23"/>
                <w:color w:val="auto"/>
                <w:vertAlign w:val="superscript"/>
              </w:rPr>
              <w:t>1</w:t>
            </w:r>
          </w:p>
        </w:tc>
        <w:tc>
          <w:tcPr>
            <w:tcW w:w="124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78%</w:t>
            </w:r>
            <w:r>
              <w:rPr>
                <w:rFonts w:ascii="Times New Roman" w:cs="Times New Roman" w:eastAsia="Times New Roman" w:hAnsi="Times New Roman"/>
                <w:sz w:val="23"/>
                <w:szCs w:val="23"/>
                <w:color w:val="auto"/>
                <w:vertAlign w:val="superscript"/>
              </w:rPr>
              <w:t>2</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46,119</w:t>
            </w:r>
          </w:p>
        </w:tc>
      </w:tr>
      <w:tr>
        <w:trPr>
          <w:trHeight w:val="249"/>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Bladder (urothelial)</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83,190</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76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83%</w:t>
            </w:r>
            <w:r>
              <w:rPr>
                <w:rFonts w:ascii="Times New Roman" w:cs="Times New Roman" w:eastAsia="Times New Roman" w:hAnsi="Times New Roman"/>
                <w:sz w:val="23"/>
                <w:szCs w:val="23"/>
                <w:color w:val="auto"/>
                <w:vertAlign w:val="superscript"/>
              </w:rPr>
              <w:t>3</w:t>
            </w:r>
          </w:p>
        </w:tc>
        <w:tc>
          <w:tcPr>
            <w:tcW w:w="124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60%</w:t>
            </w:r>
            <w:r>
              <w:rPr>
                <w:rFonts w:ascii="Times New Roman" w:cs="Times New Roman" w:eastAsia="Times New Roman" w:hAnsi="Times New Roman"/>
                <w:sz w:val="23"/>
                <w:szCs w:val="23"/>
                <w:color w:val="auto"/>
                <w:vertAlign w:val="superscript"/>
              </w:rPr>
              <w:t>3</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16,600</w:t>
            </w:r>
          </w:p>
        </w:tc>
      </w:tr>
      <w:tr>
        <w:trPr>
          <w:trHeight w:val="249"/>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Breast (TNBC)</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62,054</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76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78%</w:t>
            </w:r>
            <w:r>
              <w:rPr>
                <w:rFonts w:ascii="Times New Roman" w:cs="Times New Roman" w:eastAsia="Times New Roman" w:hAnsi="Times New Roman"/>
                <w:sz w:val="23"/>
                <w:szCs w:val="23"/>
                <w:color w:val="auto"/>
                <w:vertAlign w:val="superscript"/>
              </w:rPr>
              <w:t>3</w:t>
            </w:r>
          </w:p>
        </w:tc>
        <w:tc>
          <w:tcPr>
            <w:tcW w:w="124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58%</w:t>
            </w:r>
            <w:r>
              <w:rPr>
                <w:rFonts w:ascii="Times New Roman" w:cs="Times New Roman" w:eastAsia="Times New Roman" w:hAnsi="Times New Roman"/>
                <w:sz w:val="23"/>
                <w:szCs w:val="23"/>
                <w:color w:val="auto"/>
                <w:vertAlign w:val="superscript"/>
              </w:rPr>
              <w:t>5</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12,090</w:t>
            </w:r>
          </w:p>
        </w:tc>
      </w:tr>
      <w:tr>
        <w:trPr>
          <w:trHeight w:val="249"/>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Non-Small Cell Lung</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201,229</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110,653</w:t>
            </w:r>
          </w:p>
        </w:tc>
        <w:tc>
          <w:tcPr>
            <w:tcW w:w="176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64%</w:t>
            </w:r>
            <w:r>
              <w:rPr>
                <w:rFonts w:ascii="Times New Roman" w:cs="Times New Roman" w:eastAsia="Times New Roman" w:hAnsi="Times New Roman"/>
                <w:sz w:val="23"/>
                <w:szCs w:val="23"/>
                <w:color w:val="auto"/>
                <w:vertAlign w:val="superscript"/>
              </w:rPr>
              <w:t>3</w:t>
            </w:r>
          </w:p>
        </w:tc>
        <w:tc>
          <w:tcPr>
            <w:tcW w:w="124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58%</w:t>
            </w:r>
            <w:r>
              <w:rPr>
                <w:rFonts w:ascii="Times New Roman" w:cs="Times New Roman" w:eastAsia="Times New Roman" w:hAnsi="Times New Roman"/>
                <w:sz w:val="23"/>
                <w:szCs w:val="23"/>
                <w:color w:val="auto"/>
                <w:vertAlign w:val="superscript"/>
              </w:rPr>
              <w:t>6</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70,818</w:t>
            </w:r>
          </w:p>
        </w:tc>
      </w:tr>
      <w:tr>
        <w:trPr>
          <w:trHeight w:val="249"/>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Pancreatic</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66,440</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51,750</w:t>
            </w:r>
          </w:p>
        </w:tc>
        <w:tc>
          <w:tcPr>
            <w:tcW w:w="176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23"/>
                <w:szCs w:val="23"/>
                <w:color w:val="auto"/>
                <w:vertAlign w:val="superscript"/>
              </w:rPr>
              <w:t>3</w:t>
            </w:r>
          </w:p>
        </w:tc>
        <w:tc>
          <w:tcPr>
            <w:tcW w:w="124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37%</w:t>
            </w:r>
            <w:r>
              <w:rPr>
                <w:rFonts w:ascii="Times New Roman" w:cs="Times New Roman" w:eastAsia="Times New Roman" w:hAnsi="Times New Roman"/>
                <w:sz w:val="23"/>
                <w:szCs w:val="23"/>
                <w:color w:val="auto"/>
                <w:vertAlign w:val="superscript"/>
              </w:rPr>
              <w:t>3</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36,743</w:t>
            </w:r>
          </w:p>
        </w:tc>
      </w:tr>
      <w:tr>
        <w:trPr>
          <w:trHeight w:val="249"/>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Head and Neck</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76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59%</w:t>
            </w:r>
            <w:r>
              <w:rPr>
                <w:rFonts w:ascii="Times New Roman" w:cs="Times New Roman" w:eastAsia="Times New Roman" w:hAnsi="Times New Roman"/>
                <w:sz w:val="23"/>
                <w:szCs w:val="23"/>
                <w:color w:val="auto"/>
                <w:vertAlign w:val="superscript"/>
              </w:rPr>
              <w:t>3</w:t>
            </w:r>
          </w:p>
        </w:tc>
        <w:tc>
          <w:tcPr>
            <w:tcW w:w="124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23"/>
                <w:szCs w:val="23"/>
                <w:color w:val="auto"/>
                <w:vertAlign w:val="superscript"/>
              </w:rPr>
              <w:t>3</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w:t>
            </w:r>
          </w:p>
        </w:tc>
      </w:tr>
      <w:tr>
        <w:trPr>
          <w:trHeight w:val="249"/>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Esophageal</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22,370</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16,130</w:t>
            </w:r>
          </w:p>
        </w:tc>
        <w:tc>
          <w:tcPr>
            <w:tcW w:w="176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55%</w:t>
            </w:r>
            <w:r>
              <w:rPr>
                <w:rFonts w:ascii="Times New Roman" w:cs="Times New Roman" w:eastAsia="Times New Roman" w:hAnsi="Times New Roman"/>
                <w:sz w:val="23"/>
                <w:szCs w:val="23"/>
                <w:color w:val="auto"/>
                <w:vertAlign w:val="superscript"/>
              </w:rPr>
              <w:t>3</w:t>
            </w:r>
          </w:p>
        </w:tc>
        <w:tc>
          <w:tcPr>
            <w:tcW w:w="124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23"/>
                <w:szCs w:val="23"/>
                <w:color w:val="auto"/>
                <w:vertAlign w:val="superscript"/>
              </w:rPr>
              <w:t>3</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8,872</w:t>
            </w:r>
          </w:p>
        </w:tc>
      </w:tr>
      <w:tr>
        <w:trPr>
          <w:trHeight w:val="249"/>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Gastric</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26,890</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76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94%</w:t>
            </w:r>
            <w:r>
              <w:rPr>
                <w:rFonts w:ascii="Times New Roman" w:cs="Times New Roman" w:eastAsia="Times New Roman" w:hAnsi="Times New Roman"/>
                <w:sz w:val="23"/>
                <w:szCs w:val="23"/>
                <w:color w:val="auto"/>
                <w:vertAlign w:val="superscript"/>
              </w:rPr>
              <w:t>7</w:t>
            </w:r>
          </w:p>
        </w:tc>
        <w:tc>
          <w:tcPr>
            <w:tcW w:w="1240" w:type="dxa"/>
            <w:vAlign w:val="bottom"/>
            <w:tcBorders>
              <w:bottom w:val="single" w:sz="8" w:color="auto"/>
              <w:right w:val="single" w:sz="8" w:color="auto"/>
            </w:tcBorders>
          </w:tcPr>
          <w:p>
            <w:pPr>
              <w:jc w:val="right"/>
              <w:spacing w:after="0" w:line="248" w:lineRule="exact"/>
              <w:rPr>
                <w:sz w:val="20"/>
                <w:szCs w:val="20"/>
                <w:color w:val="auto"/>
              </w:rPr>
            </w:pPr>
            <w:r>
              <w:rPr>
                <w:rFonts w:ascii="Times New Roman" w:cs="Times New Roman" w:eastAsia="Times New Roman" w:hAnsi="Times New Roman"/>
                <w:sz w:val="18"/>
                <w:szCs w:val="18"/>
                <w:color w:val="auto"/>
              </w:rPr>
              <w:t>60%</w:t>
            </w:r>
            <w:r>
              <w:rPr>
                <w:rFonts w:ascii="Times New Roman" w:cs="Times New Roman" w:eastAsia="Times New Roman" w:hAnsi="Times New Roman"/>
                <w:sz w:val="23"/>
                <w:szCs w:val="23"/>
                <w:color w:val="auto"/>
                <w:vertAlign w:val="superscript"/>
              </w:rPr>
              <w:t>4</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11,280</w:t>
            </w:r>
          </w:p>
        </w:tc>
      </w:tr>
    </w:tbl>
    <w:p>
      <w:pPr>
        <w:spacing w:after="0" w:line="304" w:lineRule="exact"/>
        <w:rPr>
          <w:sz w:val="20"/>
          <w:szCs w:val="20"/>
          <w:color w:val="auto"/>
        </w:rPr>
      </w:pPr>
    </w:p>
    <w:p>
      <w:pPr>
        <w:ind w:left="340" w:right="160"/>
        <w:spacing w:after="0" w:line="249" w:lineRule="auto"/>
        <w:rPr>
          <w:sz w:val="20"/>
          <w:szCs w:val="20"/>
          <w:color w:val="auto"/>
        </w:rPr>
      </w:pPr>
      <w:r>
        <w:rPr>
          <w:rFonts w:ascii="Times New Roman" w:cs="Times New Roman" w:eastAsia="Times New Roman" w:hAnsi="Times New Roman"/>
          <w:sz w:val="18"/>
          <w:szCs w:val="18"/>
          <w:color w:val="auto"/>
        </w:rPr>
        <w:t xml:space="preserve">Incidences based on public estimates; Relapsed/refractory (R/R) or last-line patient population approximated by annual mortality; Patient population derived from Nectin-4 positive population multiplied by R/R incident population.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Kobecki, Int J Mol Sci, 2023;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Nikanjan, Can Let, 2025;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Challita, Can Res, 2016;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Zhang, Oncol Lett, 2018;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Zeindler, Front Med, 2019;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Takano, Mol Bio, 2009;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Muro, ESMO Open,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Validation of the Target and Potential for Broader Patient Population</w:t>
      </w:r>
    </w:p>
    <w:p>
      <w:pPr>
        <w:spacing w:after="0" w:line="23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Based on clinical data reported for other therapeutic agents targeting Nectin-4, including Pfizer (Padcev®) and Bicycle Therapeutics (BT8009), including ADC approaches, we believe this target has been clinically validated. Padcev is currently approved for locally advanced or metastatic urothelial carcinoma, which is associated with high</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189230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8"/>
          <w:szCs w:val="18"/>
          <w:color w:val="auto"/>
        </w:rPr>
        <w:t>levels of Nectin-4 expression. Whereas ADC Nectin-4 approaches require a substantial portion of tumor cells with high expression of Nectin-4 for anti-tumor activity, we believe a TCE approach could potentially target tumors with varying levels of Nectin-4 expression, including tumors with low levels of expression. Therefore, Nectin-4 could potentially capture a broader patient population and greater commercial opportunity.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Plan</w:t>
      </w:r>
    </w:p>
    <w:p>
      <w:pPr>
        <w:spacing w:after="0" w:line="238" w:lineRule="exact"/>
        <w:rPr>
          <w:sz w:val="20"/>
          <w:szCs w:val="20"/>
          <w:color w:val="auto"/>
        </w:rPr>
      </w:pPr>
    </w:p>
    <w:p>
      <w:pPr>
        <w:jc w:val="both"/>
        <w:ind w:right="40" w:firstLine="645"/>
        <w:spacing w:after="0" w:line="249" w:lineRule="auto"/>
        <w:rPr>
          <w:sz w:val="20"/>
          <w:szCs w:val="20"/>
          <w:color w:val="auto"/>
        </w:rPr>
      </w:pPr>
      <w:r>
        <w:rPr>
          <w:rFonts w:ascii="Times New Roman" w:cs="Times New Roman" w:eastAsia="Times New Roman" w:hAnsi="Times New Roman"/>
          <w:sz w:val="18"/>
          <w:szCs w:val="18"/>
          <w:color w:val="auto"/>
        </w:rPr>
        <w:t>We submitted our application to the HREC in March 2026 to support the initiation of a first-in-human trial for CT-202. We expect to dose the first patient in our CT-202 Phase 1 trial in the third quarter of 2026. The primary objective in dose escalation will be to evaluate the safety and tolerability of CT-202.</w:t>
      </w: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collaboration and license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and Licensing Agreement with Integral Molecular</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April 2021, we entered into a collaboration and licensing agreement with Integral Molecular, Inc. (“Integral”) (the “Integral License Agreement”) for the development of a CLDN6 bsAb for cancer therapy. Under the terms of the Integral License Agreement, we and Integral developed a CLDN6 bsAb that is intended to trigger the activation of T cells and eliminates cancer cells displaying CLDN6. We will conduct preclinical and all clinical development, as well as regulatory and commercial activities through exclusive worldwide rights to develop and commercialize the novel CLDN6 candidates. As a part of the Integral License Agreement, Integral was eligible to receive remaining development and regulatory milestone payments totaling approximately $55 million, sales milestone payments totaling up to $130 million, and tiered royalties of up to 12% of net sales of certain products developed under the Integral License Agreement.</w:t>
      </w:r>
    </w:p>
    <w:p>
      <w:pPr>
        <w:spacing w:after="0" w:line="133"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color w:val="auto"/>
        </w:rPr>
        <w:t>On March 20, 2023, we amended the Integral License Agreement (the “First Amendment”) to remove the previously agreed to second milestone payment and to change the amount of the third milestone payment to increase such payment by the amount of the prior second milestone payment and to add payment for third-party research funding obtained and used by Integral in connection with the development of CTIM-76.</w:t>
      </w:r>
    </w:p>
    <w:p>
      <w:pPr>
        <w:spacing w:after="0" w:line="110"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On February 29, 2024, we further amended the Integral License Agreement to reflect updated financial terms. In the course of our further due diligence review of CTIM-76, we determined that certain of the licensed rights under the Integral License Agreement may incorporate intellectual property rights currently held by a third party. Specifically, we are aware of issued patents in the United States and certain foreign jurisdictions expiring in January 2034, and then in 2025 became aware of a patent that issued in the United States expiring in March 2042, in each instance that potentially cover certain of the intellectual property included in CTIM-76. While we believe we will have reasonable defenses against any potential claim of infringement, we may not be successful in such efforts, and we also may not be able to obtain a license to such patent on commercially reasonable terms, or at all.</w:t>
      </w:r>
    </w:p>
    <w:p>
      <w:pPr>
        <w:spacing w:after="0" w:line="134"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As part of Amendment 2 to the Integral License Agreement (the "Second Amendment"), Integral’s right to receive certain future payments was reduced as follows: aggregate development and regulatory milestone payments were reduced from $55 million to $15 million, aggregate sales milestone payments were reduced from $130 million to $12.5 million, and a tiered royalty of 8-12% that commenced at first commercial sale was reduced to a flat royalty rate of 6% on net sales beginning no sooner than February 1, 2034. The Second Amendment also narrowed the license grant from Integral to us to only cover CTIM-76, removed any further obligation of us to reimburse Integral for any independently obtained research funding Integral applied against CTIM-76 research, and included mutual releases by the parties.</w:t>
      </w:r>
    </w:p>
    <w:p>
      <w:pPr>
        <w:spacing w:after="0" w:line="14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The reduced development and regulatory milestones now reflect a payment due at each of: first patient’s first screening visit in a Phase 1b/2 or Phase 2 clinical trial for CTIM-76, first patient’s first screening visit in a Phase 3 clinical trial for CTIM-76, United States marketing approval for CTIM-76, European Union marketing approval for CTIM-76, United Kingdom marketing approval for CTIM-76, and Japan marketing approval for CTIM-76. The amended commercial milestones now also reflect a payment due upon the achievement of annual net sales of $500 million and annual net sales of $1 billion.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Purchase Agreement with Link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On July 9, 2024, we entered into the Asset Purchase Agreement pursuant to which we acquired CT-95 (formerly known as LNK-101), from Link, which succeeded to the assets of Link Immunotherapeutics Inc. The FDA previously cleared the IND application for CT-95.</w:t>
      </w:r>
    </w:p>
    <w:p>
      <w:pPr>
        <w:spacing w:after="0" w:line="10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color w:val="auto"/>
        </w:rPr>
        <w:t>Pursuant to the Asset Purchase Agreement, we purchased all of the Transferred Assets on an “as is” and “where is” basis. CT-95 patents are currently being prosecuted and/or maintained in the United States, Europe, Canada, Australia, Japan and Taiwan. We also assumed certain liabilities relating to the Transferred Assets. In consideration of the purchase of the Transferred Assets, we made a one-time payment to Link of $3.75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and Licensing Agreement with BioAtla</w:t>
      </w:r>
    </w:p>
    <w:p>
      <w:pPr>
        <w:spacing w:after="0" w:line="171" w:lineRule="exact"/>
        <w:rPr>
          <w:sz w:val="20"/>
          <w:szCs w:val="20"/>
          <w:color w:val="auto"/>
        </w:rPr>
      </w:pPr>
    </w:p>
    <w:p>
      <w:pPr>
        <w:jc w:val="both"/>
        <w:ind w:right="240"/>
        <w:spacing w:after="0" w:line="310" w:lineRule="auto"/>
        <w:rPr>
          <w:sz w:val="20"/>
          <w:szCs w:val="20"/>
          <w:color w:val="auto"/>
        </w:rPr>
      </w:pPr>
      <w:r>
        <w:rPr>
          <w:rFonts w:ascii="Times New Roman" w:cs="Times New Roman" w:eastAsia="Times New Roman" w:hAnsi="Times New Roman"/>
          <w:sz w:val="17"/>
          <w:szCs w:val="17"/>
          <w:color w:val="auto"/>
        </w:rPr>
        <w:t>On September 23, 2024, we entered into the BioAtla License Agreement with BioAtla, pursuant to which we obtained an exclusive, worldwide license to develop, manufacture and commercialize the BioAtla Assets, including BA3362 (renamed by the Company as CT-202), BioAtla’s Nectin-4 x CD3 TCE.</w:t>
      </w:r>
    </w:p>
    <w:p>
      <w:pPr>
        <w:spacing w:after="0" w:line="8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As partial consideration for the exclusive license under the BioAtla License Agreement, we made an upfront payment of $11.0 million, and BioAtla is eligible to receive up to $122.5 million in additional milestone payments based upon the achievement of specified pre-clinical, clinical, development and commercial milestones, as well as tiered mid-single digit to low double-digit royalties on future net sales for products containing the BioAtla Assets, subject to standard reductions.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7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retain full worldwide development and commercialization rights to certain CLDN6 patents in the field of bispecific antibodies, full worldwide development and commercialization rights to CT-95 patents, and full worldwide development and commercialization rights to certain CT-202 patents. We periodically evaluate out-license opportunities for our product candidates and seek to identify drug candidates for novel indications and/or patient subpopulations with an oncology focus that we might in-license. Our commercial plans and strategy for any of our programs may change as programs advance, markets change, and we receive more clinical data, and will depend on availability of current and future capital.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3" w:lineRule="exact"/>
        <w:rPr>
          <w:sz w:val="20"/>
          <w:szCs w:val="20"/>
          <w:color w:val="auto"/>
        </w:rPr>
      </w:pPr>
    </w:p>
    <w:p>
      <w:pPr>
        <w:jc w:val="both"/>
        <w:ind w:right="540"/>
        <w:spacing w:after="0" w:line="264" w:lineRule="auto"/>
        <w:rPr>
          <w:sz w:val="20"/>
          <w:szCs w:val="20"/>
          <w:color w:val="auto"/>
        </w:rPr>
      </w:pPr>
      <w:r>
        <w:rPr>
          <w:rFonts w:ascii="Times New Roman" w:cs="Times New Roman" w:eastAsia="Times New Roman" w:hAnsi="Times New Roman"/>
          <w:sz w:val="18"/>
          <w:szCs w:val="18"/>
          <w:color w:val="auto"/>
        </w:rPr>
        <w:t>We currently have no sales, marketing, or commercial product distribution capabilities, and we may explore partnerships with larger pharmaceutical organizations that already have these capabilities. We intend to build the necessary infrastructure and capabilities over time for the United States, and potentially other regions, following further advancement of a product candidate.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and expect to continue to rely, on third parties for the manufacture of our current and any future product candidates for preclinical and clinical testing, as well as for commercial manufacture if any product candidate obtains marketing approval. We also rely, and expect to continue to rely, on third parties to package, label, store and distribute our current and any future investigational product candidates, as well as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our current and any future product candidates.</w:t>
      </w:r>
    </w:p>
    <w:p>
      <w:pPr>
        <w:spacing w:after="0" w:line="132"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To date, we have obtained active pharmaceutical ingredients (“API”) and drug product for our product candidates from several third-party contract manufacturers, including Lonza Sales AG (“Lonza Sales”) and Lonza AG (“Lonza AG”, and collectively with Lonza Sales, “Lonza”) and Just-Evotec Biologics, Inc. We continue to develop our supply chain for CTIM-76, CT-95 and CT-202, and intend to put in place additional framework agreements under which third-party contract manufacturers will generally provide us with necessary quantities of API and drug product on a project-by-project basis based on our development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8"/>
          <w:szCs w:val="18"/>
          <w:color w:val="auto"/>
        </w:rPr>
        <w:t>On November 7, 2022, we entered into a license agreement (the “Lonza CTIM-76 License Agreement”) with Lonza Sales. Under the terms of the Lonza CTIM-76 License Agreement, to the extent Lonza’s technology is incorporated into CTIM-76, Lonza granted us a non-exclusive license to use certain proprietary Lonza intellectual property and systems for us to develop, manufacture and commercially exploit CTIM-76.</w:t>
      </w:r>
    </w:p>
    <w:p>
      <w:pPr>
        <w:spacing w:after="0" w:line="123"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8"/>
          <w:szCs w:val="18"/>
          <w:color w:val="auto"/>
        </w:rPr>
        <w:t>On November 3, 2025, we entered into a license agreement (the “Lonza CT-202 License Agreement”) with Lonza Sales. Under the terms of the Lonza CT-202 License Agreement, to the extent Lonza’s technology is incorporated into CT-202, Lonza granted us a non-exclusive license to use certain proprietary Lonza intellectual property and systems for us to develop, manufacture and commercially exploit CT-202.</w:t>
      </w:r>
    </w:p>
    <w:p>
      <w:pPr>
        <w:spacing w:after="0" w:line="1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shall pay certain royalties and annual payments to Lonza under the applicable license agreement with respect to the manufacturing and sale of CTIM-76 or CT-202, as applicable, which amounts shall be determined by the party manufacturing CTIM-76 or CT-202, as applicable, and ranges from a potential annual payment of up to less than $500,000 per asset and a royalty per asset on net sales from 0% up to a low single digit percentage. Under each respective license agreement, the royalty payments and annual payments would be reduced per asset in certain circumstances, including should the valid claims for any such patent rights not exist in the country in which CTIM-76 or CT-202, as applicable, is being sold, and the royalty payments per asset would expire upon the later of the expiration of the licensed patents in the country in which CTIM-76 or CT-202, as applicable, is being sold, the expiration of the licensed patents in the country in which CTIM-76 or CT-202, as applicable, is being manufactured, and 10 years from the first commercial sales of CTIM-76 or CT-202, as applicable, in such country of sale.</w:t>
      </w:r>
    </w:p>
    <w:p>
      <w:pPr>
        <w:spacing w:after="0" w:line="13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Lonza CTIM-76 License Agreement and the Lonza CT-202 License Agreement each continue until respectively terminated. We or Lonza may terminate either the Lonza CTIM-76 License Agreement or the Lonza CT-202 License Agreement, as applicable, for uncured material breaches or insolvency of the other party. We can unilaterally terminate the Lonza CTIM-76 License Agreement or the Lonza CT-202 License Agreement with prior written notice to Lonza, and Lonza can also unilaterally terminate the Lonza CTIM-76 License Agreement or the Lonza CT-202 License Agreement upon certain actions by us.</w:t>
      </w:r>
    </w:p>
    <w:p>
      <w:pPr>
        <w:spacing w:after="0" w:line="132"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The Lonza CTIM-76 License Agreement and Lonza CT-202 License Agreement also each contain customary representations, warranties, indemnification and other obligations of us and Lonza.</w:t>
      </w:r>
    </w:p>
    <w:p>
      <w:pPr>
        <w:spacing w:after="0" w:line="108"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color w:val="auto"/>
        </w:rPr>
        <w:t>As we advance our current and any future product candidates through development, we will consider our lack of redundant supply for the API and drug product for each product candidate to protect against any potential supply disruptions.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expect to rely on third parties for the manufacture of any companion diagnostics we may develop.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The pharmaceutical and biotechnology industries are characterized by rapidly advancing technologies, intense competition, and a strong emphasis on proprietary products. While we believe that our technology, the experience of our executive and scientific team, research, clinical capabilities, development experience and scientific knowledge provide us with competitive advantages,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1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collaborators,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Mergers and acquisitions may result in even more resources being concentrated in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 key competitive factors affecting the success of all of our programs are likely to be efficacy, safety and convenience.</w:t>
      </w:r>
    </w:p>
    <w:p>
      <w:pPr>
        <w:spacing w:after="0" w:line="119" w:lineRule="exact"/>
        <w:rPr>
          <w:sz w:val="20"/>
          <w:szCs w:val="20"/>
          <w:color w:val="auto"/>
        </w:rPr>
      </w:pPr>
    </w:p>
    <w:p>
      <w:pPr>
        <w:jc w:val="both"/>
        <w:ind w:right="540"/>
        <w:spacing w:after="0" w:line="243" w:lineRule="auto"/>
        <w:rPr>
          <w:sz w:val="20"/>
          <w:szCs w:val="20"/>
          <w:color w:val="auto"/>
        </w:rPr>
      </w:pPr>
      <w:r>
        <w:rPr>
          <w:rFonts w:ascii="Times New Roman" w:cs="Times New Roman" w:eastAsia="Times New Roman" w:hAnsi="Times New Roman"/>
          <w:sz w:val="18"/>
          <w:szCs w:val="18"/>
          <w:color w:val="auto"/>
        </w:rPr>
        <w:t>For CTIM-76, our CLDN6 x CD3 TCE, we are aware of several companies developing T cell engagers against CLDN6. Several TCE candidates are currently in clinical development, including those of Beigene (BGB-B455), Third Arc Bio (ARC101), and Xencor (XmAb541). We may face further competition from companies pursuing the development of product candidates that target CLDN6 through other modalities, including Daiichi Sankyo (DS9606), BioNTech (BNT211), and TORL (TORL-1-23).</w:t>
      </w:r>
    </w:p>
    <w:p>
      <w:pPr>
        <w:spacing w:after="0" w:line="21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For CT-95, our MSLN x CD3 TCE, we are aware that Amgen (AMG-305) has a TCE candidate currently in clinical development. We may face further competition from companies pursuing the development of product candidates that target MSLN through other modalities, including RemeGen Biosciences (RC88), Outpace Bio (OPB-101), and Navrogen (NAV001, NAV008).</w:t>
      </w:r>
    </w:p>
    <w:p>
      <w:pPr>
        <w:spacing w:after="0" w:line="20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For CT-202, our Nectin-4 x CD3 TCE, we are aware of several companies developing T cell engagers against Nectin-4. Several TCE candidates are currently in clinical development, including those of Bicycle Therapeutics (BT7480). We may face further competition from companies pursuing the development of product candidates that target Nectin-4 through other modalities, including Pfizer (Padcev®), Bicycle Therapeutics (BT8009), Eli Lilly (LY4052031, LY4101174), Corbus Pharmaceuticals (CRB-701), Bio-Thera (BAT8007), Mabwell (PMW2821), Adcentrx (ADRX-0706), Aktis Oncology (AKY-1189), and Shanghai Henlius Biotech (HLX-309).</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0"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seeking, maintaining and defending our patent rights. We retain full worldwide development and commercialization rights to certain CLDN6 antibody patents in the field of bispecific antibodies, full worldwide development and commercialization rights to CT-95 patents, and full worldwide development and commercialization rights to certain CT-202 patents. Our policy is to seek to protect our proprietary position by, among other methods, filing patent applications in the United States and in jurisdictions outside of the United States directed to our proprietary technology, inventions, improvements and product candidates that are important to the development and implementation of our business. We also rely on trade secrets and know-how relating to our proprietary technology to protect our product candidates and continuing to innovate to develop, strengthen and maintain our proprietary position in the field of oncology. We also plan to rely on data exclusivity, market exclusivity and patent term extensions when available. Our commercial success will depend in part on our ability to obtain and maintain patent and other proprietary protection for our product candidates, technology, inventions and improvements; to preserve the confidentiality of our trade secrets; to defend and enforce our proprietary rights, including any patents that we may own or license in the future; and to operate without infringing on the valid and enforceable patents and other proprietary rights of third parties.</w:t>
      </w:r>
    </w:p>
    <w:p>
      <w:pPr>
        <w:spacing w:after="0" w:line="198"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color w:val="auto"/>
        </w:rPr>
        <w:t>As of March 1, 2026, the Integral Molecular, Inc. patent portfolio covering CTIM-76 and methods of use that we exclusively licensed pursuant to the Integral License Agreement includes three granted U.S. patents, two pending U.S. non-provisional applications, granted patents in China, Eurasia, Japan, Saudi Arabia, Vietnam, Ukraine, and South Africa, and pending foreign applications in United Arab Emirates, Australia, Brazil, Canada, Chile, China, Eurasia, Europe, Hong Kong, Indonesia, Israel, India, Japan, South Korea, Mexico, New Zealand, the Philippines, Saudi Arabia, Singapore, South Africa, Thailand, Taiwan and Vietnam, of which the Philippines and Vietnam are allowed. The U.S. patents are expected to expire in 2040 and 2043, subject to any extensions or disclaimers. We also own two pending U.S. provisional applications, two pending International Patent Cooperation Treaty applications, and a pending application in Taiwan covering CTIM-76 and methods of using it, which, if converted and issued, will expire in 2045, subject to any extensions or disclaimers.</w:t>
      </w:r>
    </w:p>
    <w:p>
      <w:pPr>
        <w:spacing w:after="0" w:line="22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color w:val="auto"/>
        </w:rPr>
        <w:t>As of March 1, 2026, we own the patent portfolio covering CT-95 and methods of use, which includes one U.S. patent, one pending U.S. non-provisional application, two pending U.S. provisional applications, and 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foreign applications in Australia, Canada, Europe, Japan, and Taiwan. The U.S. patent and any patents that grant from the pending applications are expected to expire in 2042, subject to any extensions or disclaimers.</w:t>
      </w:r>
    </w:p>
    <w:p>
      <w:pPr>
        <w:spacing w:after="0" w:line="190"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8"/>
          <w:szCs w:val="18"/>
          <w:color w:val="auto"/>
        </w:rPr>
        <w:t>As of March 1, 2026, the BioAtla patent portfolio covering CT-202 and methods of use that we exclusively licensed pursuant to the BioAtla License Agreement includes one U.S. patent, two pending U.S. non-provisional applications, a granted patent in Japan, Mexico and Taiwan, and pending foreign applications in Australia, Canada, China, Europe, Hong Kong, Israel, India, Japan, South Korea, Macau, Mexico, Singapore, Thailand, and Taiwan, of which Israel is allowed. The issued patent and any patents that grant from the pending applications are expected to expire from 2039 to 2041, subject to any extensions or disclaimers.</w:t>
      </w:r>
    </w:p>
    <w:p>
      <w:pPr>
        <w:spacing w:after="0" w:line="213"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color w:val="auto"/>
        </w:rPr>
        <w:t>We also possess substantial know-how and trade secrets relating to the development and commercialization of our product candidates, including related manufacturing processes and technology.</w:t>
      </w:r>
    </w:p>
    <w:p>
      <w:pPr>
        <w:spacing w:after="0" w:line="10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color w:val="auto"/>
        </w:rPr>
        <w:t>With respect to our current and any future product candidates and processes, we intend to develop and commercialize in the normal course of business, and we intend to pursue patent protection covering, when possible, compositions, methods of use, dosing and formulations. We may also pursue patent protection with respect to manufacturing and drug development processes and technologies.</w:t>
      </w:r>
    </w:p>
    <w:p>
      <w:pPr>
        <w:spacing w:after="0" w:line="12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covers or claims an FDA 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w:t>
      </w:r>
    </w:p>
    <w:p>
      <w:pPr>
        <w:spacing w:after="0" w:line="1"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18"/>
          <w:szCs w:val="18"/>
          <w:color w:val="auto"/>
        </w:rPr>
        <w:t>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2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No consistent policy regarding the scope of claims allowable in patents in the field of oncology has emerged in the United States. The relevant patent laws and their interpretation outside of the United States is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product candidates,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may not guarantee us the right to commercialize our product candidates, if approved. Patent and other intellectual property rights in the pharmaceutical and biotechnology space are evolving and involve many risks and uncertainties. Third parties may have blocking patents that could be used to prevent us from commercializing our product candidates and practicing our proprietary product candidates, and our issued patents may be challenged, invalidated or circumvented, which could limit our ability to stop competitors from marketing related products or could limit the term of patent protection that otherwise may exist for our product candidates. Moreover, such third parties may obtain damages against us, which could require us to make commercially reasonable royalty payments, payments for lost profits, or other damages, costs and expenses. In addition, the scope of the rights granted under any issued patents may not provide us with protection or competitive advantages against competitors with similar products. Furthermore, our competitors may independently develop similar products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commercialized, any patent protection for such product may expire or remain in force for only a short period following commercialization, thereby reducing the commercial advantage the patent provides.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Regulatory Pathway</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expect that CTIM-76, CT-95 and CT-202 will each be classified and regulated by the FDA as a biologic. We expect that any small molecule product that we may develop will be classified and regulated by the FDA as a drug. A new drug application (“NDA”) is required to introduce a drug into interstate commerce. A biologics license application (“BLA”) is required to introduce a biologic product into interstate commerce. The specific requirements of NDAs and BLAs include applicant information, product information, manufacturing information, pre-clinical data, clinical data, and labelling. The most important, time-consuming, and expensive aspect of preparing for a BLA or NDA is conducting clinical trials to demonstrate safety and effectiveness. The requirements of such clinical trials heavily influence the eventual allowable product label claims. The FDA has a performance goal as defined in the Prescription Drug User Fee Act of 10 months for a standard submission and six months for priority review. It is not uncommon for NDAs and BLAs to require medical advisory board review prior to the FDA granting marketing approval. A facility inspection verifying the manufacturing systems is also usually performed prior to FDA approval.</w:t>
      </w:r>
    </w:p>
    <w:p>
      <w:pPr>
        <w:spacing w:after="0" w:line="11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including the fast track program. New drug and biological product candidates are eligible for fast track designation if they are intended to treat a serious or life-threatening disease or condition and demonstrate the potential to address unmet medical needs for the disease or condition. Fast track designation considers the combination of the product candidate’s therapeutic potential and the specific indication for which it is being studied. The sponsor of a new drug or biologic may request that the FDA designate product candidate as fast track at any time during clinical development. The sponsor of a fast track designated product candidate has opportunities for more frequent interactions with the applicable FDA review team during product candidate development. A fast track product candidate may also be eligible for rolling review, where the FDA may consider for review sections of the NDA/BLA on a rolling basis before the complete application is submitted upon agreement with the FDA. Fast track designation does not change the standards for approval but may expedite the development or approval process. Even if a product candidate qualifies for this program, the FDA may later decide that the product candidate no longer meets the conditions for qualification and rescind the designation or decide that the time period for FDA review or approval will not be shortened.</w:t>
      </w:r>
    </w:p>
    <w:p>
      <w:pPr>
        <w:spacing w:after="0" w:line="21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drugs and biologics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NDA/BLA. If the FDA grants orphan drug designation, the FDA then discloses publicly the identity of the therapeutic agent and its potential orphan use. Orphan drug designation does not convey any advantage in or shorten the duration of the regulatory review and approval process.</w:t>
      </w:r>
    </w:p>
    <w:p>
      <w:pPr>
        <w:spacing w:after="0" w:line="21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market approval for the disease for which it has such designation, the product is entitled to orphan product exclusivity, which means that the FDA may not approve any other applications to market the same drug for the same indication, except in very limited circumstances, for seven years. Orphan drug exclusivity, however, could also block the approval of one of our products for seven years if a competitor obtains approval of the same drug for the same indication or disease as defined by the FDA.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 the past used and intend to continue to utilize the services of third-party experts to supplement internal regulatory planning and implementation.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FDA Regulation</w:t>
      </w:r>
    </w:p>
    <w:p>
      <w:pPr>
        <w:spacing w:after="0" w:line="173"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color w:val="auto"/>
        </w:rPr>
        <w:t>After the FDA permits a product to enter commercial distribution, numerous and pervasive regulatory requirements continue to apply to our business operations, products and technologies. These include:</w:t>
      </w:r>
    </w:p>
    <w:p>
      <w:pPr>
        <w:spacing w:after="0" w:line="108" w:lineRule="exact"/>
        <w:rPr>
          <w:sz w:val="20"/>
          <w:szCs w:val="20"/>
          <w:color w:val="auto"/>
        </w:rPr>
      </w:pPr>
    </w:p>
    <w:p>
      <w:pPr>
        <w:jc w:val="both"/>
        <w:ind w:left="660" w:hanging="330"/>
        <w:spacing w:after="0" w:line="26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good manufacturing practice (“cGMP”) requirements applicable to drugs and biologics, which require manufacturers, including third-party manufacturers, to follow stringent production, control, quality assurance, supplier qualification, documentation and other procedures throughout all aspects of the manufacturing process;</w:t>
      </w:r>
    </w:p>
    <w:p>
      <w:pPr>
        <w:spacing w:after="0" w:line="123" w:lineRule="exact"/>
        <w:rPr>
          <w:rFonts w:ascii="Times New Roman" w:cs="Times New Roman" w:eastAsia="Times New Roman" w:hAnsi="Times New Roman"/>
          <w:sz w:val="18"/>
          <w:szCs w:val="18"/>
          <w:color w:val="auto"/>
        </w:rPr>
      </w:pPr>
    </w:p>
    <w:p>
      <w:pPr>
        <w:ind w:left="660" w:right="320" w:hanging="330"/>
        <w:spacing w:after="0" w:line="28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 marketing regulations which require that promotion is truthful, not misleading, fairly balanced and consistent with FDA-approved labeling for prescription drug and biologic products;</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requirements, including FDA prohibitions against the promotion of products for uncleared, unapproved or off-label uses and FDA guidance on off-label dissemination of information and responding to unsolicited requests for information;</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sale, distribution or use;</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establishment, registration and listing requirements and reporting requirements;</w:t>
      </w:r>
    </w:p>
    <w:p>
      <w:pPr>
        <w:spacing w:after="0" w:line="169" w:lineRule="exact"/>
        <w:rPr>
          <w:rFonts w:ascii="Times New Roman" w:cs="Times New Roman" w:eastAsia="Times New Roman" w:hAnsi="Times New Roman"/>
          <w:sz w:val="18"/>
          <w:szCs w:val="18"/>
          <w:color w:val="auto"/>
        </w:rPr>
      </w:pPr>
    </w:p>
    <w:p>
      <w:pPr>
        <w:ind w:left="660" w:right="960" w:hanging="330"/>
        <w:spacing w:after="0" w:line="28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requirements, including a mandatory recall if there is a reasonable probability that a product would cause serious adverse health consequences or death;</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of repair, replacement or refund; and</w:t>
      </w:r>
    </w:p>
    <w:p>
      <w:pPr>
        <w:spacing w:after="0" w:line="169" w:lineRule="exact"/>
        <w:rPr>
          <w:rFonts w:ascii="Times New Roman" w:cs="Times New Roman" w:eastAsia="Times New Roman" w:hAnsi="Times New Roman"/>
          <w:sz w:val="18"/>
          <w:szCs w:val="18"/>
          <w:color w:val="auto"/>
        </w:rPr>
      </w:pPr>
    </w:p>
    <w:p>
      <w:pPr>
        <w:ind w:left="660" w:right="340" w:hanging="330"/>
        <w:spacing w:after="0" w:line="28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necessary to protect the public health or to provide additional safety and effectiveness data.</w:t>
      </w:r>
    </w:p>
    <w:p>
      <w:pPr>
        <w:spacing w:after="0" w:line="10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The FDA has broad post-market and regulatory enforcement powers. Manufacturers of biologic products and drug products are subject to unannounced inspections by the FDA and other state, local and foreign regulatory authorities to assess compliance with cGMP and other applicable regulations, and these inspections may include the manufacturing facilities of any suppliers.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comply with applicable regulatory requirements can result in enforcement action by the FDA, which may include any of the following sanctions:</w:t>
      </w:r>
    </w:p>
    <w:p>
      <w:pPr>
        <w:spacing w:after="0" w:line="169" w:lineRule="exact"/>
        <w:rPr>
          <w:sz w:val="20"/>
          <w:szCs w:val="20"/>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untitled letters, Form 483s, fines, injunctions, consent decrees and civil penalties;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or seizure of products;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refusal of requests for approval of new products or indications for existing products;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refusal to issue certificates to foreign governments needed to export products for sale in other countries;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approvals that have already been granted; and</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Pathway in the EU</w:t>
      </w:r>
    </w:p>
    <w:p>
      <w:pPr>
        <w:spacing w:after="0" w:line="25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Like the United States, the most important and time-consuming part of seeking marketing authorization in the European Union (“EU”) is the clinical trial process. In the EU, the various stages of non-clinical and clinical testing are subject to a significant volume of regulatory requirements and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EU Clinical Trials Regulations (“EU CTR”), adopted in April 2014, became applicable on January 31, 2022 and repealed and replaced the EU Clinical Trials Directive. The EU CTR applies to all EU member states, unlike the precedent directive, which required each member state to enact the directive into national law. The EU CTR aims to harmonize the assessment and supervision process for clinical trials throughout the EU through the Clinical Trials Information System (“CTIS”). The CTR creates a centralized process, permitting clinical trial sponsors to submit a single clinical trial application, applicable to all multi-center trial sites within the EEA.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CTR transition period ended on January 31, 2025, and all clinical trials (and related applications) are now fully subject to the provisions of the CTR.</w:t>
      </w:r>
    </w:p>
    <w:p>
      <w:pPr>
        <w:spacing w:after="0" w:line="25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To be placed on the market in the European Economic Area (“EEA”) following the clinical trial process, new medical products, including biologics, require a marketing authorization (“MA”). An MA application may be made through either the centralized or decentralized process, dependent, among other things, on the type of medical product seeking authorization. A centralized MA is issued by the European Commission based on the opinion of the European Medicines Agency (“EMA”). Centralized MAs are valid throughout the EU and required for certain types of medicinal products like those derived from biotechnological processes, orphan medical products, advanced therapy medicinal products, and medicinal products with a new active substance for the treatment of certain diseases. Where the centralized procedure is not mandatory or chosen, applicants may seek authorization through national procedures, the decentralized procedure, or the mutual recognition procedure, which result in national marketing authorizations granted by individual EU Member States.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Pathway in the United Kingdom</w:t>
      </w:r>
    </w:p>
    <w:p>
      <w:pPr>
        <w:spacing w:after="0" w:line="25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As of January 1, 2021 and the implementation of the Windsor Framework on January 1, 2025, the UK is not generally subject to EU laws related to medical products. The EU laws that have been transposed into UK law through secondary legislation remain applicable in the UK; however, new EU legislation such as the EU CTR is not applicable in the UK.</w:t>
      </w:r>
    </w:p>
    <w:p>
      <w:pPr>
        <w:spacing w:after="0" w:line="20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January 1, 2025, all of the UK (including England, Wales, Scotland, and Northern Ireland) are regulated under the Medicines and Healthcare products Regulatory Agency (“MHRA”), the standalone UK medicines and medical device regulator. The UK regulatory framework for clinical trials is the Medicines for Human Use (Clinical Trials) Regulations 2004, as amended, which is derived from the EU Clinical Trials Directive. In 2024, the UK introduced amendments to the law that seek to streamline the process and accelerate approvals, while maintaining appropriate safety standards. The amendment is set to take full effect starting in April 2026.</w:t>
      </w:r>
    </w:p>
    <w:p>
      <w:pPr>
        <w:spacing w:after="0" w:line="21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In order to obtain a UK marketing authorization to place medical products on the market in the UK, an applicant must follow one of the UK national authorization procedures or one of the remaining post-Brexit international cooperation procedures. The MHRA may rely on the International Recognition Procedure (“IRP”) when reviewing certain types of MA applications. Pursuant to the IRP, the MHRA will consider the expertise and decisions of trusted regulatory partners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the medicines regulatory authorities in Australia, Canada, Switzerland, Singapore, Japan, the U.S. and the EMA). The MHRA will conduct a targeted assessment of IRP applications but retains the authority to reject applications if the evidence provided is considered insufficiently robust.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Pathway in Australia</w:t>
      </w:r>
    </w:p>
    <w:p>
      <w:pPr>
        <w:spacing w:after="0" w:line="254"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8"/>
          <w:szCs w:val="18"/>
          <w:color w:val="auto"/>
        </w:rPr>
        <w:t>The Australian Therapeutic Goods Administration (“TGA”) and the National Health and Medical Research Council (“NHMRC”) set the legislative, regulatory and good clinical practice (“GCPs”) requirements for clinical trials in Australia. Australia has also adopted the ICH guidelines on GCP. Like other jurisdictions discussed above, pre-clinical trials are required to support a first-in-human trial in Australia.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Therapeutic Goods Act 1989 and related regulations establish and maintain the national system of controls relating to the efficacy, quality, safety and</w:t>
      </w:r>
    </w:p>
    <w:p>
      <w:pPr>
        <w:spacing w:after="0" w:line="4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timely availability of drugs and medical devices in Australia. The TGA administers two pathways for clinical trials, the Clinical Trials Notification (“CTN”) and Clinical Trials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(“CTA”) schemes. These pathways govern the process through which “unapproved”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not yet authorized for the Australian market) therapeutic goods may be supplied solely for experimental use in humans. The choice of which pathway to use (CTN or CTA) is made by the clinical trial sponsor, which must be an Australian legal entity or have an Australian sponsor responsible to the TGA. That decision is reviewed and confirmed by the HREC that approves the protocol. The CTA pathway, which requires prior regulatory approval, is designed primarily for high-risk or novel treatments where there is limited or no knowledge of the therapeutic good’s safety for use in humans.</w:t>
      </w:r>
    </w:p>
    <w:p>
      <w:pPr>
        <w:spacing w:after="0" w:line="21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All therapeutic goods must be approved for inclusion in the Australian Register of Therapeutic Goods (the “ARTG”) before it may be marketed (or imported, exported, manufactured or supplied) in Australia. In order to obtain registration of the product on the ARTG, the medical product’s sponsor must provide evidence supporting quality, safety, and efficacy, which may include clinical trials, and evidence demonstrating that the manufacture of the therapeutic product complies with all applicable principles of current good manufacturing practices (“cGMPs”).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 Laws</w:t>
      </w:r>
    </w:p>
    <w:p>
      <w:pPr>
        <w:spacing w:after="0" w:line="17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including health information. Among others, the federal Health Insurance Portability and Accountability Act of 1996, as amended by the Health Information Technology for Economic and Clinical Health Act (HITECH), and their implementing regulations, (collectively referred to as “HIPAA”), establish privacy and security standards that limit the use and disclosure of protected health information (“PHI”) and require covered entities and business associates to implement administrative, physical, and technical safeguards to ensure the confidentiality, integrity and availability of individually identifiable health information in electronic form, among other requirements.</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Violations of HIPAA may result in civil and criminal penalties. Companies subject to HIPAA must also comply with HIPAA’s breach notification rule which requires notification of affected patients and the U.S. Department of Health and Human Services (“HHS”), and in certain cases of media outlets, in the case of a breach of unsecured PHI. The regulations also require business associates of covered entities to notify the covered entity of breaches by the business associate. State attorneys general also have the right to prosecute HIPAA violations committed against residents of their states, and HIPAA standards have been used as the basis for the duty of care in state civil suits, such as those for negligence or recklessness in misusing personal information. In addition, HIPAA mandates that HHS conduct periodic compliance audits of HIPAA covered entities and their business associates for compliance.</w:t>
      </w:r>
    </w:p>
    <w:p>
      <w:pPr>
        <w:spacing w:after="0" w:line="118" w:lineRule="exact"/>
        <w:rPr>
          <w:sz w:val="20"/>
          <w:szCs w:val="20"/>
          <w:color w:val="auto"/>
        </w:rPr>
      </w:pPr>
    </w:p>
    <w:p>
      <w:pPr>
        <w:ind w:right="20" w:firstLine="645"/>
        <w:spacing w:after="0" w:line="236" w:lineRule="auto"/>
        <w:rPr>
          <w:sz w:val="20"/>
          <w:szCs w:val="20"/>
          <w:color w:val="auto"/>
        </w:rPr>
      </w:pPr>
      <w:r>
        <w:rPr>
          <w:rFonts w:ascii="Times New Roman" w:cs="Times New Roman" w:eastAsia="Times New Roman" w:hAnsi="Times New Roman"/>
          <w:sz w:val="18"/>
          <w:szCs w:val="18"/>
          <w:color w:val="auto"/>
        </w:rPr>
        <w:t>Many states have laws that protect the privacy and security of sensitive and personal information, including health information, to which we are subject. These laws may be similar to or even more protective than HIPAA and other federal privacy laws. For example, California enacted the California Consumer Privacy Act (the “CCPA”), which creates individual privacy rights for California consumers and increases the privacy and security obligations of entities handling certain personal data. The CCPA went into effect on January 1, 2020, and the California Attorney General may bring enforcement actions for violations as of July 1, 2020. On January 1, 2023, California adopted the California Privacy Rights Act (“CPRA”), which amended the CCPA to enhance certain of the privacy protections for California consumers that were created by the CCPA. The enhancements include imposing additional compliance obligations for covered entities and removing certain exemptions previously available under the CCPA. While the California Attorney General retains civil enforcement authority, the CPRA also created the California Privacy Protection Agency to implement and enforce the law. Since the CCPA, many other states have passed or are considering passing similar state privacy laws.</w:t>
      </w:r>
    </w:p>
    <w:p>
      <w:pPr>
        <w:spacing w:after="0" w:line="22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We may be subject to other state and federal privacy laws, including laws that prohibit unfair privacy and security practices and deceptive statements about privacy and security, laws that place specific requirements on certain types of activities, such as data security and texting, and laws requiring holders of personal information to maintain safeguards and to take certain actions in response to a data breach.</w:t>
      </w:r>
    </w:p>
    <w:p>
      <w:pPr>
        <w:spacing w:after="0" w:line="12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European Union member states, the United Kingdom, Switzerland and other jurisdictions have also adopted data protection laws and regulations, which impose significant compliance obligations. The EU-wide General Data Protection Regulation (“GDPR”) became applicable on May 25, 2018, replacing the previous data protection laws issued by each EU Member State based on the Directive 95/46/EC. Unlike the Directive (which needed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transposed at national level), the GDPR text is directly applicable in each EU member state, resulting in a more uniform application of data privacy laws across the EU. The GDPR imposes onerous accountability obligations, requiring data controllers and processors to maintain a record of their data processing and policies. It requires data controllers to be transparent and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are significant—the greater of EUR 20 million or 4% of global turnover. The GDPR provides that EU Member States may introduce further conditions, including limitations, to the processing of genetic, biometric or health data. In the UK, the UK General Data Protection Regulation (the “UK GDPR”) came into effect on January 1, 2021. Similar to the GDPR, the UK GDPR sets out the key principles, rights, and obligations for most processing of personal data in the UK. The Data Protection Act of 2018, which came into effect on May 25, 2018 and was amended on January 1, 2021, works alongside and supplements the UK GDPR.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73" w:lineRule="exact"/>
        <w:rPr>
          <w:sz w:val="20"/>
          <w:szCs w:val="20"/>
          <w:color w:val="auto"/>
        </w:rPr>
      </w:pPr>
    </w:p>
    <w:p>
      <w:pPr>
        <w:jc w:val="both"/>
        <w:ind w:right="360"/>
        <w:spacing w:after="0" w:line="264" w:lineRule="auto"/>
        <w:rPr>
          <w:sz w:val="20"/>
          <w:szCs w:val="20"/>
          <w:color w:val="auto"/>
        </w:rPr>
      </w:pPr>
      <w:r>
        <w:rPr>
          <w:rFonts w:ascii="Times New Roman" w:cs="Times New Roman" w:eastAsia="Times New Roman" w:hAnsi="Times New Roman"/>
          <w:sz w:val="18"/>
          <w:szCs w:val="18"/>
          <w:color w:val="auto"/>
        </w:rPr>
        <w:t>Changes in healthcare policy could increase our costs and subject us to additional regulatory requirements that may interrupt commercialization of our products. By way of example, the Patient Protection and Affordable Care Act (“PPACA”) substantially changed the way healthcare is financed by both governmental and private insurers, and significantly impacted the pharmaceutical, medical device and biologics industries, among others.</w:t>
      </w:r>
    </w:p>
    <w:p>
      <w:pPr>
        <w:spacing w:after="0" w:line="123"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PPACA, and there may be additional amendments to PPACA in the future. For example, in 2017, Congress enacted the Tax Cuts and Jobs Act, which eliminated the tax-based shared responsibility payment imposed by PPACA on certain individuals who fail to maintain qualifying health coverage for all or part of a year that is commonly referred to as the “individual mandate.”</w:t>
      </w:r>
    </w:p>
    <w:p>
      <w:pPr>
        <w:spacing w:after="0" w:line="12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“IRA”), was passed, which among other things, allows for the Centers for Medicare &amp; Medicaid Services (“CMS”) to negotiate prices for certain single-source drugs and biologics reimbursed under Medicare Part B and Part D, beginning with 10 high-cost drugs paid for by Medicare Part D starting in 2026, followed by 15 Part D drugs in 2027, 15 Part B or Part D drugs in 2028, and 20 Part B or Part D drugs in 2029 and beyond.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caps Medicare beneficiaries’ annual out-of-pocket drug expenses at $2,000. The effect of the IRA on our business is not yet known.</w:t>
      </w:r>
    </w:p>
    <w:p>
      <w:pPr>
        <w:spacing w:after="0" w:line="133"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7"/>
          <w:szCs w:val="17"/>
          <w:color w:val="auto"/>
        </w:rPr>
        <w:t>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and/or patients’ willingness to pay for our products. While in general it is too early to predict what effect, if any, any future healthcare reform legislation or policies will have on our business, current and future healthcare reform legislation and policies could have a material adverse effect on our business and prospects.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and Reimbursement</w:t>
      </w:r>
    </w:p>
    <w:p>
      <w:pPr>
        <w:spacing w:after="0" w:line="17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 These third-party payors are increasingly challenging the price and examining the cost-effectiveness of medical products and services. In addition, significant uncertainty exists as to the reimbursement status of newly approved healthcare products, and efforts are underway to reduce the cost of medical products and services overall. We may need to conduct expensive studies in order to demonstrate the cost-effectiveness of our products. Our current and any future product candidates may not be considered cost-effective.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Decisions regarding the extent of coverage and amount of reimbursement to be provided are made on a plan-by-plan basis. One third-party payor’s decision to cover a particular product does not ensure that other payors will also provide coverage for the product. Adequate third-party reimbursement may not be available to enable us to maintain price levels sufficient to realize an appropriate revenue level. Future legislation could limit payments for our current and any future product candidates.</w:t>
      </w:r>
    </w:p>
    <w:p>
      <w:pPr>
        <w:spacing w:after="0" w:line="12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less costly products. Adoption of government controls and measures, and tightening of restrictive policies in jurisdictions with existing controls and measures, could limit payments for our products. The marketability of any products for which we receive regulatory approval for commercial sale may suffer if the government and third-party payors fail to provide adequate coverage and reimbursement. In addition, an increasing emphasis on managed care in the United States has increased and will continue to increase the pressure on medical product and service pricing.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Anti-Kickback and False Claims Laws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United States, the research, manufacturing, distribution, sale and promotion of pharmaceutical products and devices are subject to regulation by various federal, state and local authorities in addition to the FDA, including CMS, other divisions of HHS (e.g., the Office of Inspector General), the U.S. Department of Justice, state Attorneys General, and other federal, state and local government agencies. For example, sales, marketing and scientific/educational grant programs must comply with the Federal Food, Drug, and Cosmetic Act, the Anti-Kickback Statute, as amended, the False Claims Act, as amended, the privacy regulations promulgated under HIPAA, and similar state laws.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3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As noted above, in the United States, we are subject to complex laws and regulations pertaining to healthcare “fraud and abuse,” including, but not limited to, the federal Anti-Kickback Statute, the federal False Claims Act, and other state and federal laws and regulations. The Anti-Kickback Statute makes it illegal for any person, including a biological product manufacturer (or a party acting on its behalf) to knowingly and willfully solicit, receive, offer, or pay any remuneration that is intended to induce the referral of business, including the purchase or order of an item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Anti-Kickback Statute. Some of these state prohibitions apply to the referral of patients for healthcare services reimbursed by any insurer, not just federal healthcare programs such as Medicare and Medicaid. Due to the breadth of these federal and state anti-kickback laws and the potential for additional legal or regulatory change in this area, it is possible that our sales and marketing practices and/or our relationships with physicians might be challenged under anti-kickback laws, which could harm us. Because we plan to commercialize products that could be reimbursed under a federal healthcare program and other governmental healthcare programs, we plan to develop a comprehensive compliance program that establishes internal controls to facilitate adherence to the rules and program requirements to which we are subject.</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federal False Claims Act prohibits anyone from, among other things, knowingly presenting, or causing to be presented, for payment to federal programs (including Medicare and Medicaid) claims for items or services, including pharmaceutical products, that are false or fraudulent. Although we would not submit claims directly to payers, manufacturers can be held liable under these laws if they are deemed to “cause” the submission of false or fraudulent claims by, for example, providing inaccurate billing or coding information to customers or promoting a product off-label.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off-label promotion of drugs. Penalties for a False Claims Act violation include three times the actual damages sustained by the government, plus mandatory civil penalties for each separate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3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Many of these laws contain ambiguities as to what is required to comply with the laws. In addition, a provision of PPACA, referred to as the Sunshine Act, requires pharmaceutical product manufacturers to track and report to the federal government certain payments or other transfers of value made to physicians, registered nurses and teaching hospitals, among others,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federal authorities.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Federal Healthcare Fraud and Abuse Laws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may also be subject to other federal healthcare fraud and abuse laws, including provisions of HIPAA, which prohibit knowingly and recklessly executing a scheme or artifice to defraud any healthcare benefit program, including private payors, as well as knowingly and willfully falsifying, concealing or covering up a material fact by any trick, scheme or device or making any materially false, fictitious or fraudulent statement in connection with the delivery of or payment for healthcare benefits, items or services. A violation of this statute is a felony and may result in fines, imprisonment or exclusion from government-sponsored programs. Similar to the federal Anti-Kickback Statute, a person or entity no longer needs to have actual knowledge of this statute or specific intent to violate it in order to have committed a violation.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Corrupt Practices Act</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Foreign Corrupt Practices Act (the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The FCPA also obligates companies whose securities are listed in the United States to comply with accounting provisions requiring us to maintain books and records, which in reasonable detail, accurately and fairly reflect the transactions and dispositions of the assets of the corporation, including international subsidiaries, if any, and to devise and maintain a system of internal accounting controls sufficient to provide reasonable assurances regarding the reliability of financial reporting and the preparation of financial statements. The scope of the FCPA includes interactions with certain healthcare professionals in many countries.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3"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As of March 1, 2026, we had fifteen full-time employees and no part-time employees. None of these employees are represented by labor unions or covered by collective bargaining agreements. We believe that our employee relations are good.</w:t>
      </w:r>
    </w:p>
    <w:p>
      <w:pPr>
        <w:spacing w:after="0" w:line="108"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8"/>
          <w:szCs w:val="18"/>
          <w:color w:val="auto"/>
        </w:rPr>
        <w:t>Culture is a critical element in the management of our organization. Our talented employees are focused on driving our business with the foundation for all our efforts being to advance medicines for solid tumors. Our goal is that each colleague feels a deep connection to what they do, loves coming to work, and is aligned to our mission.</w:t>
      </w:r>
    </w:p>
    <w:p>
      <w:pPr>
        <w:spacing w:after="0" w:line="123" w:lineRule="exact"/>
        <w:rPr>
          <w:sz w:val="20"/>
          <w:szCs w:val="20"/>
          <w:color w:val="auto"/>
        </w:rPr>
      </w:pPr>
    </w:p>
    <w:p>
      <w:pPr>
        <w:ind w:right="600"/>
        <w:spacing w:after="0" w:line="280" w:lineRule="auto"/>
        <w:rPr>
          <w:sz w:val="20"/>
          <w:szCs w:val="20"/>
          <w:color w:val="auto"/>
        </w:rPr>
      </w:pPr>
      <w:r>
        <w:rPr>
          <w:rFonts w:ascii="Times New Roman" w:cs="Times New Roman" w:eastAsia="Times New Roman" w:hAnsi="Times New Roman"/>
          <w:sz w:val="18"/>
          <w:szCs w:val="18"/>
          <w:color w:val="auto"/>
        </w:rPr>
        <w:t>Culture begins with our hiring process and continues throughout an employee’s time with Context. We support our colleagues with a comprehensive offering of competitive pay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April 2021. Our corporate office is located at 2001 Market Street, Suite 3915, Unit #15, Philadelphia, PA 19103. Our telephone number is (267) 225-7416. We maintain an Internet website at www.contexttherapeutics.com. The information contained on our website is not incorporated by reference into this Form 10-K.</w:t>
      </w:r>
    </w:p>
    <w:p>
      <w:pPr>
        <w:spacing w:after="0" w:line="1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We make available free of charge under the “Investors &amp; News” — “Financials” — “SEC Filings” section of our website all of our filings with the SEC, including our annual reports on Form 10-K, quarterly reports on Form 10-Q, current reports on Form 8-K, proxy statements and amendments to such documents, each of which is provided on our website as soon as reasonably practicable after we electronically file or furnish, as applicable, the information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carefully the risks and uncertainties described below, together with general economic and business risks and all of the other information contained in this Annual Report on Form 10-K, including the section titled “Management’s Discussion and Analysis of Financial Condition and Results of Operations” and our financial statements and related notes, before making a decision to invest in our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common stock could decline, and you could lose all or part of your investment. This Annual Report on Form 10-K also contains forward-looking statements that involve risks and uncertainties. Our actual results could differ materially from those anticipated in the forward-looking statements as a result of specific factors, including the risks described below. See "Note Regarding Forward-Looking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been profitable and may never achieve or maintain profitability.</w:t>
      </w:r>
    </w:p>
    <w:p>
      <w:pPr>
        <w:spacing w:after="0" w:line="17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We have not commercialized any products and have yet to generate any revenue from product sales. The amount of our future net losses will depend, in part, on our expenses and our ability to generate revenues. Our current and any future product candidates will require substantial additional development time and resources before we may realize revenue from product sales, if at all. We expect to continue to incur significant expenses and operating losses for the foreseeable future. We anticipate that our expenses will increase substantially if and as we:</w:t>
      </w:r>
    </w:p>
    <w:p>
      <w:pPr>
        <w:spacing w:after="0" w:line="128" w:lineRule="exact"/>
        <w:rPr>
          <w:sz w:val="20"/>
          <w:szCs w:val="20"/>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current research and development programs, including conducting laboratory, preclinical and clinical studies for product candidates;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and initiate clinical trials for product candidates;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assess, acquire or develop additional research programs or product candidates;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may successfully complete development;</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that may obtain marketing approval;</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refine the manufacturing process for our current and any future product candidates;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additional manufacturers or suppliers of pharmaceutical or biological materials or product candidates;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technologies;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attract and retain new and existing personnel; and</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facilities.</w:t>
      </w:r>
    </w:p>
    <w:p>
      <w:pPr>
        <w:spacing w:after="0" w:line="1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recently began our clinical trial for CTIM-76 and CT-95 and no clinical studies have begun on CT-202. It will be several years, if ever, before we obtain regulatory approval for a therapeutic product candidate, at which time any revenues for such product candidate will depend upon many factors, including market conditions, costs and effectiveness of manufacturing, sales, marketing and distribution operations related to such product candidate, the scope of intellectual property protection for such product candidate, and the terms of any collaboration or other strategic arrangement we may have with respect to such product candidate and levels of reimbursement from third-party payors.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8"/>
          <w:szCs w:val="18"/>
          <w:color w:val="auto"/>
        </w:rPr>
        <w:t>If we are unable to develop and commercialize one or more product candidates either alone or with collaborators, including through the potential out-licensing of our product candidates, or if revenues from any product candidate that receives marketing approval or is commercialized are insufficient, we may not achieve profitability or sustain profitability, which would have an adverse effect on the value of our common stock.</w:t>
      </w:r>
    </w:p>
    <w:p>
      <w:pPr>
        <w:spacing w:after="0" w:line="11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10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The continuation of our business is dependent upon raising additional capital. We will need additional funding to meet our operational needs and capital requirements for clinical trials, other research and development expenditures, and general and administrative expenses. We currently have no credit facility or committed sources of capital.</w:t>
      </w:r>
    </w:p>
    <w:p>
      <w:pPr>
        <w:spacing w:after="0" w:line="1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transactions and/or marketing, distribution or licensing arrangements. There can be no assurances that our plans to obtain additional capital will be successful on the terms or timeline we expect, or at all. If these efforts are unsuccessful, we may be required to significantly curtail or discontinue operations or, if available, to obtain funds through financing transactions with unfavorable terms.</w:t>
      </w:r>
    </w:p>
    <w:p>
      <w:pPr>
        <w:spacing w:after="0" w:line="12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raise substantial additional capital on acceptable terms, or at all, we may be forced to delay, reduce or eliminate some or all of our research programs, product development activities and commercialization efforts.</w:t>
      </w:r>
    </w:p>
    <w:p>
      <w:pPr>
        <w:spacing w:after="0" w:line="10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The process of identifying product candidates and conducting preclinical and clinical trials is time consuming, expensive, uncertain and takes years to complete. Our operations have consumed substantial amounts of cash since inception. We expect our expenses to increase in connection with our ongoing activities, particularly as we identify, continue the research and development of, initiate clinical trials of, and seek marketing approval for, product candidates. Our future funding requirements, both near and long-term, will depend on many factors, including, but not limited to:</w:t>
      </w:r>
    </w:p>
    <w:p>
      <w:pPr>
        <w:spacing w:after="0" w:line="128" w:lineRule="exact"/>
        <w:rPr>
          <w:sz w:val="20"/>
          <w:szCs w:val="20"/>
          <w:color w:val="auto"/>
        </w:rPr>
      </w:pPr>
    </w:p>
    <w:p>
      <w:pPr>
        <w:ind w:left="660" w:right="100" w:hanging="330"/>
        <w:spacing w:after="0" w:line="28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progress, timing, costs and results of preclinical studies and clinical trials, including patient enrollment in such trials, for CTIM-76, CT-95, CT-202 or any other future product candidates;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plans we have established and may establish for CTIM-76, CT-95, CT-202 and any other future product candidates;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 to make milestone, royalty and non-royalty sublicense receipt payments to third-party licensors, if any, under our licensing agreements;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and characteristics of product candidates that we discover or in-license and develop;</w:t>
      </w:r>
    </w:p>
    <w:p>
      <w:pPr>
        <w:spacing w:after="0" w:line="169" w:lineRule="exact"/>
        <w:rPr>
          <w:rFonts w:ascii="Times New Roman" w:cs="Times New Roman" w:eastAsia="Times New Roman" w:hAnsi="Times New Roman"/>
          <w:sz w:val="18"/>
          <w:szCs w:val="18"/>
          <w:color w:val="auto"/>
        </w:rPr>
      </w:pPr>
    </w:p>
    <w:p>
      <w:pPr>
        <w:ind w:left="660" w:right="200" w:hanging="330"/>
        <w:spacing w:after="0" w:line="28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 timing and cost of regulatory review by the FDA and comparable foreign regulatory authorities, including the potential for the FDA or comparable foreign regulatory authorities to require that we perform more studies than those that we currently expect;</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filing, prosecuting, defending and enforcing any patent claims and maintaining and enforcing other intellectual property rights;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competing technological and market developments;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timing of the implementation of commercial-scale manufacturing activities; and</w:t>
      </w:r>
    </w:p>
    <w:p>
      <w:pPr>
        <w:spacing w:after="0" w:line="169" w:lineRule="exact"/>
        <w:rPr>
          <w:rFonts w:ascii="Times New Roman" w:cs="Times New Roman" w:eastAsia="Times New Roman" w:hAnsi="Times New Roman"/>
          <w:sz w:val="18"/>
          <w:szCs w:val="18"/>
          <w:color w:val="auto"/>
        </w:rPr>
      </w:pPr>
    </w:p>
    <w:p>
      <w:pPr>
        <w:ind w:left="660" w:right="400" w:hanging="330"/>
        <w:spacing w:after="0" w:line="28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timing of establishing sales, marketing and distribution capabilities for any product candidates for which we may receive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If we are unable to obtain sufficient funding on a timely basis or on favorable terms, we may be required to significantly delay, reduce or eliminate one or more of our research or product development programs and/or commercialization efforts or we might have to obtain funds through arrangements, such as selling or out-licensing our product candidates, with collaborative partners or others that may require us to relinquish rights to our technologies or product candidates that we otherwise would not relinquish. We may also be unable to expand our operations or otherwise capitalize on business opportunities as desired. Any of these events could materially adversely affect our financial condition and business prospects.</w:t>
      </w:r>
    </w:p>
    <w:p>
      <w:pPr>
        <w:spacing w:after="0" w:line="12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successfully integrate recent and future acquisitions, our management’s attention could be diverted, and efforts to integrate future acquisitions could consume significant resources.</w:t>
      </w:r>
    </w:p>
    <w:p>
      <w:pPr>
        <w:spacing w:after="0" w:line="186"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8"/>
          <w:szCs w:val="18"/>
          <w:color w:val="auto"/>
        </w:rPr>
        <w:t>Our obtainment of the rights to CT-202 and the acquisition of CT-95, and any other future acquisition that we may undertake, involve risks related to the integration of the acquired assets into the Company after the acquisition is completed. These risks include delays in development timelines, increased expenses, and assumption of undisclosed liabilities.</w:t>
      </w:r>
    </w:p>
    <w:p>
      <w:pPr>
        <w:spacing w:after="0" w:line="1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evaluate our current business and future prospects and may increase the risk of your investment.</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We were founded in 2015 and spent the first three years of our company’s history developing and refining our therapeutic approach, and only since then have we focused our efforts on advancing the development of product candidates.</w:t>
      </w:r>
    </w:p>
    <w:p>
      <w:pPr>
        <w:spacing w:after="0" w:line="1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Investment in biopharmaceutical product development is a highly speculative endeavor and entails substantial upfront capital expenditures. There is significant risk that any product candidate will fail to demonstrate adequate efficacy or an acceptable safety profile, obtain any required regulatory approvals or become commercially viable. Our product candidates and the therapeutic approach we are using are new and unproven. We have not demonstrated an ability to successfully complete any clinical trials, obtain any required marketing approvals, manufacture products, conduct sales, marketing and distribution activities, or arrange for a third party to do any of the foregoing on our behalf.</w:t>
      </w:r>
    </w:p>
    <w:p>
      <w:pPr>
        <w:spacing w:after="0" w:line="13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Consequently, any predictions made about our future success or viability may not be as accurate as they could be if we had a history of successfully developing and commercializing products. Our limited operating history, particularly in light of the rapidly evolving nature of the biopharmaceutical industries and the cancer therapeutics field, may make it difficult to evaluate our technology and business prospects or to predict our future performance.</w:t>
      </w:r>
    </w:p>
    <w:p>
      <w:pPr>
        <w:spacing w:after="0" w:line="10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pursuing particular research programs or product candidates that may be less successful or profitable than other programs or product candidates.</w:t>
      </w:r>
    </w:p>
    <w:p>
      <w:pPr>
        <w:spacing w:after="0" w:line="10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Research programs to identify new product candidates require substantial technical, financial, and human resources. We may focus our efforts and resources on potential programs or product candidates that ultimately prove to be unsuccessful. The successful completion of a clinical trial with regard to any of our product candidates is not assured despite the expenditure of significant resources in pursuit of their development, and our spending on current and future research and development programs and product candidates may not yield any commercially viable products.</w:t>
      </w:r>
    </w:p>
    <w:p>
      <w:pPr>
        <w:spacing w:after="0" w:line="12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Additionally, if we do not accurately evaluate the commercial potential or target market for a particular product candidate, we may relinquish valuable rights to that product candidate through collaboration, licensing or other strategic arrangements in cases in which it would have been more advantageous for us to retain sole development and commercialization rights to such product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Fluctuating foreign exchange rates could increase our operating expenses and adversely affect our results of operations.</w:t>
      </w:r>
    </w:p>
    <w:p>
      <w:pPr>
        <w:spacing w:after="0" w:line="17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We have vendors located outside of the United States that provide services relating to the development and manufacture of our product candidates, and as a result, we have had and expect to continue to have more significant foreign currency risks related to our operating expenses denominated in currencies other than the U.S. dollar. A weakening U.S. dollar could increase our operating expenses, which would adversely impact our results of operations and financial position.</w:t>
      </w:r>
    </w:p>
    <w:p>
      <w:pPr>
        <w:spacing w:after="0" w:line="124"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Inflation, geopolitical developments, global supply chain disruptions and public health concerns could adversely affect our business and results of operations.</w:t>
      </w:r>
    </w:p>
    <w:p>
      <w:pPr>
        <w:spacing w:after="0" w:line="105"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7"/>
          <w:szCs w:val="17"/>
          <w:color w:val="auto"/>
        </w:rPr>
        <w:t>While inflation in the United States has been relatively low in recent years, the economy in the United States has encountered a higher level of inflation since 2021. Inflation has raised our costs for commodities, labor, materials, and services and other costs required to grow and operate our business, and failure to secure these on reasonable terms may adversely impact our financial condition. Additionally, increases in inflation, along with geopolitical developments, global supply chain disruptions and public health concerns, have caused, and may in the future cause, global economic uncertainty and instability, which may make it more difficult or costly for us to secure additional financing or acquire the supplies necessary to run our clinical trials. A failure to adequately respond to these risks could have a material adverse impact on our financial condition, results of operations, or cash flows.</w:t>
      </w:r>
    </w:p>
    <w:p>
      <w:pPr>
        <w:spacing w:after="0" w:line="113"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Changes in U.S. trade policy, including the imposition of tariffs and the resulting consequences, may have a material adverse impact on our business, financial condition, and results of operations.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U.S. government has adopted new approaches to trade policy, and in some cases may renegotiate, or potentially terminate, certain existing bilateral or multi-lateral trade agreements. The U.S. government has also imposed tariffs on most foreign goods and has threatened to impose significant tariff increases or expand the tariffs to capture other countries and types of goods, including pharmaceutical products. Tariffs on imports from nations from whom we procure raw materials used in the manufacturing process, clinical supplies or other required products are likely to increase the difficulty and cost of our research and development, and/or could require us to incur significant costs to transition to alternative suppliers. Future tariff increases, expanding the tariffs to cover other countries or other changes in U.S. trade policy could exacerbate these challenges.</w:t>
      </w:r>
    </w:p>
    <w:p>
      <w:pPr>
        <w:spacing w:after="0" w:line="132"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7"/>
          <w:szCs w:val="17"/>
          <w:color w:val="auto"/>
        </w:rPr>
        <w:t>Further increasing uncertainty related to trade policies, on February 20, 2026, the U.S. Supreme Court ruled against the U.S. presidential administration’s use of tariffs under the International Emergency Economic Powers Act ("IEEPA"). However, the decision creates uncertainty related to various aspects of the tariffs previously collected under the IEEPA, and not all tariffs announced throughout 2025 were impacted by this U.S. Supreme Court decision.</w:t>
      </w:r>
    </w:p>
    <w:p>
      <w:pPr>
        <w:spacing w:after="0" w:line="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Additionally, in response to the U.S. Supreme Court ruling, the U.S. presidential administration imposed a new worldwide tariff effective for 150 days from February 24, 2026. The imposition of these new, worldwide tariffs, as well as the potential for further tariff actions by the U.S. presidential administration or others, represents a significant source of uncertainty.</w:t>
      </w:r>
    </w:p>
    <w:p>
      <w:pPr>
        <w:spacing w:after="0" w:line="13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In addition, in response to these tariffs, other countries have threatened, announced or implemented retaliatory tariffs on U.S. goods. Political tensions and uncertainty as a result of rapidly changing trade policies could reduce trade volume, investment, technological exchange, and other economic activities between major international economies, resulting in a material adverse effect on global economic conditions and the stability of global financial markets, which could in turn have a material adverse impact on our business, financial condition and results of operations.</w:t>
      </w:r>
    </w:p>
    <w:p>
      <w:pPr>
        <w:spacing w:after="0" w:line="124"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governing documents designate the Court of Chancery of the State of Delaware as the sole and exclusive forum for certain types of state law actions and proceedings that may be initiated by our stockholders, which could limit our stockholders’ ability to obtain a favorable judicial forum for disputes with us or our directors, officers, employees or agents.</w:t>
      </w:r>
    </w:p>
    <w:p>
      <w:pPr>
        <w:spacing w:after="0" w:line="119" w:lineRule="exact"/>
        <w:rPr>
          <w:sz w:val="20"/>
          <w:szCs w:val="20"/>
          <w:color w:val="auto"/>
        </w:rPr>
      </w:pPr>
    </w:p>
    <w:p>
      <w:pPr>
        <w:ind w:right="600"/>
        <w:spacing w:after="0" w:line="280"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form, the Court of Chancery of the State of Delaware (or, if the Court of Chancery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not have jurisdiction, the United States District Court for the District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amended and restated certificate of incorporation or amended and restated bylaws; (4) any action to interpret, apply, enforce or determine the validity of our amended and restated certificate of incorporation or amended and restated bylaws; or (5) any action asserting a claim governed by the internal affairs doctrine. In addition, our amended and restated certificate of incorporation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 (the “Securities Act”). Notwithstanding the foregoing, the exclusive forum provision shall not apply to claims seeking to enforce any liability or duty created by the Securities Exchange Act of 1934, as amended (the “Exchange Act”).</w:t>
      </w:r>
    </w:p>
    <w:p>
      <w:pPr>
        <w:spacing w:after="0" w:line="138"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This choice of forum provision may limit our stockholders’ ability to bring a claim in a judicial forum that it finds favorable for disputes with us or our directors, officers, employees or agents, which may discourage such lawsuits against us and our directors, officers, employees and agents even though an action, if successful, might benefit our stockholders. Stockholders who do bring a claim in the Court of Chancery could face additional litigation costs in pursuing any such claim, particularly if they do not reside in or near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inapplicable to, or unenforceable in respect of, one or more of the specified types of actions or proceedings, we may incur additional costs associated with resolving such matters in other jurisdictions, which could have a material adverse effect on our business, financial condition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Candidates</w:t>
      </w:r>
    </w:p>
    <w:p>
      <w:pPr>
        <w:spacing w:after="0" w:line="16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the successful development, regulatory approval and commercialization of our therapeutic product candidates, CTIM-76, CT-95 and CT-202, which are in the early stages of development.</w:t>
      </w:r>
    </w:p>
    <w:p>
      <w:pPr>
        <w:spacing w:after="0" w:line="105"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7"/>
          <w:szCs w:val="17"/>
          <w:color w:val="auto"/>
        </w:rPr>
        <w:t>We have no products approved for sale. The success of our business, including our ability to finance our Company and generate any revenue in the future, will primarily depend on the successful development, regulatory approval and commercialization of CTIM-76, CT-95 and CT-202, which may never occur.</w:t>
      </w:r>
    </w:p>
    <w:p>
      <w:pPr>
        <w:spacing w:after="0" w:line="86"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In the future, we may also become dependent on other product candidates that we may develop or acquire; however, not all of our product candidates have been tested in humans and given our early stage of development, it may be many years, if at all, before we have demonstrated the safety and efficacy of a cancer treatment sufficient to warrant approval for commercialization.</w:t>
      </w:r>
    </w:p>
    <w:p>
      <w:pPr>
        <w:spacing w:after="0" w:line="1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not previously submitted an NDA or BLA to the FDA, or similar regulatory approval filings to comparable foreign authorities, for any product candidate, and we cannot be certain that our current or any future product candidates will be successful in clinical trials or receive regulatory approval. Further, any future product candidates may not receive regulatory approval even if they are successful in clinical trials. If we do not receive regulatory approvals for our current or future product candidates, we may not be able to continue our operations. Even if we successfully obtain regulatory approvals to market a product candidate, our revenue will be dependent, in part, upon the size of the markets in the territories for which we gain regulatory approval and have commercial rights. If the markets or patient subsets that we are targeting are not as significant as we estimate, we may not generate significant revenues from sales of such products, if approved.</w:t>
      </w:r>
    </w:p>
    <w:p>
      <w:pPr>
        <w:spacing w:after="0" w:line="133"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We plan to seek regulatory approval to commercialize our current and any future product candidates both in the United States and in selected foreign countries. While the scope of regulatory approval generally is similar in other countries,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our current and any future product candidates, and we may be required to expend significant resources to obtain regulatory approval and to comply with ongoing regulations in these jurisdictions.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clinical and commercial success of our current and any future product candidates will depend on a number of factors, including the following:</w:t>
      </w:r>
    </w:p>
    <w:p>
      <w:pPr>
        <w:spacing w:after="0" w:line="169" w:lineRule="exact"/>
        <w:rPr>
          <w:sz w:val="20"/>
          <w:szCs w:val="20"/>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required capital on acceptable terms, or at all;</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IND and BLA-enabling studies and successfully submit an IND and BLA;</w:t>
      </w:r>
    </w:p>
    <w:p>
      <w:pPr>
        <w:spacing w:after="0" w:line="169" w:lineRule="exact"/>
        <w:rPr>
          <w:rFonts w:ascii="Times New Roman" w:cs="Times New Roman" w:eastAsia="Times New Roman" w:hAnsi="Times New Roman"/>
          <w:sz w:val="18"/>
          <w:szCs w:val="18"/>
          <w:color w:val="auto"/>
        </w:rPr>
      </w:pPr>
    </w:p>
    <w:p>
      <w:pPr>
        <w:ind w:left="660" w:right="380" w:hanging="330"/>
        <w:spacing w:after="0" w:line="28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our preclinical studies and clinical trials, which may be slower or cost more than we currently anticipate and will depend substantially upon the performance of third-party contractors;</w:t>
      </w:r>
    </w:p>
    <w:p>
      <w:pPr>
        <w:spacing w:after="0" w:line="108" w:lineRule="exact"/>
        <w:rPr>
          <w:rFonts w:ascii="Times New Roman" w:cs="Times New Roman" w:eastAsia="Times New Roman" w:hAnsi="Times New Roman"/>
          <w:sz w:val="18"/>
          <w:szCs w:val="18"/>
          <w:color w:val="auto"/>
        </w:rPr>
      </w:pPr>
    </w:p>
    <w:p>
      <w:pPr>
        <w:ind w:left="660" w:right="540" w:hanging="330"/>
        <w:spacing w:after="0" w:line="28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similar foreign regulatory agencies to conduct additional clinical trials or other studies beyond those planned to support approval of our product candidates;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w:t>
      </w:r>
    </w:p>
    <w:p>
      <w:pPr>
        <w:spacing w:after="0" w:line="169" w:lineRule="exact"/>
        <w:rPr>
          <w:rFonts w:ascii="Times New Roman" w:cs="Times New Roman" w:eastAsia="Times New Roman" w:hAnsi="Times New Roman"/>
          <w:sz w:val="18"/>
          <w:szCs w:val="18"/>
          <w:color w:val="auto"/>
        </w:rPr>
      </w:pPr>
    </w:p>
    <w:p>
      <w:pPr>
        <w:ind w:left="660" w:right="360" w:hanging="330"/>
        <w:spacing w:after="0" w:line="28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proposed indications and primary endpoint assessments relating to the proposed indications of our product candidates by the FDA and similar foreign regulatory authorities;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provide for manufacturing of our product candidates or future approved products, if any, on a timely basis;</w:t>
      </w:r>
    </w:p>
    <w:p>
      <w:pPr>
        <w:spacing w:after="0" w:line="169"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any third parties with whom we contract, to remain in good standing with regulatory agencies and to develop, validate and maintain commercially viable manufacturing processes that are compliant with cGMPs;</w:t>
      </w:r>
    </w:p>
    <w:p>
      <w:pPr>
        <w:spacing w:after="0" w:line="108" w:lineRule="exact"/>
        <w:rPr>
          <w:rFonts w:ascii="Times New Roman" w:cs="Times New Roman" w:eastAsia="Times New Roman" w:hAnsi="Times New Roman"/>
          <w:sz w:val="18"/>
          <w:szCs w:val="18"/>
          <w:color w:val="auto"/>
        </w:rPr>
      </w:pPr>
    </w:p>
    <w:p>
      <w:pPr>
        <w:ind w:left="660" w:right="200" w:hanging="330"/>
        <w:spacing w:after="0" w:line="28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and similar foreign regulatory authorities the safety, efficacy and acceptable risk-benefit profile of our product candidates;</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any side effects or other safety issues experienced with our product candidates or future approved products, including when tested or used in combination with other approved products or product candidates;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and similar foreign regulatory authorities;</w:t>
      </w:r>
    </w:p>
    <w:p>
      <w:pPr>
        <w:spacing w:after="0" w:line="169" w:lineRule="exact"/>
        <w:rPr>
          <w:rFonts w:ascii="Times New Roman" w:cs="Times New Roman" w:eastAsia="Times New Roman" w:hAnsi="Times New Roman"/>
          <w:sz w:val="18"/>
          <w:szCs w:val="18"/>
          <w:color w:val="auto"/>
        </w:rPr>
      </w:pPr>
    </w:p>
    <w:p>
      <w:pPr>
        <w:jc w:val="both"/>
        <w:ind w:left="660" w:right="40" w:hanging="330"/>
        <w:spacing w:after="0" w:line="26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and, where applicable, ensuring that our third-party contractors achieve and maintain, compliance with our contractual obligations and with all regulatory requirements applicable to our product candidates or any future product candidates or future approved products, if any;</w:t>
      </w:r>
    </w:p>
    <w:p>
      <w:pPr>
        <w:spacing w:after="0" w:line="123" w:lineRule="exact"/>
        <w:rPr>
          <w:rFonts w:ascii="Times New Roman" w:cs="Times New Roman" w:eastAsia="Times New Roman" w:hAnsi="Times New Roman"/>
          <w:sz w:val="18"/>
          <w:szCs w:val="18"/>
          <w:color w:val="auto"/>
        </w:rPr>
      </w:pPr>
    </w:p>
    <w:p>
      <w:pPr>
        <w:ind w:left="660" w:right="600" w:hanging="330"/>
        <w:spacing w:after="0" w:line="28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operators of hospitals and clinics and patients to utilize or adopt our product candidates or any future product candidates;</w:t>
      </w:r>
    </w:p>
    <w:p>
      <w:pPr>
        <w:spacing w:after="0" w:line="108" w:lineRule="exact"/>
        <w:rPr>
          <w:rFonts w:ascii="Times New Roman" w:cs="Times New Roman" w:eastAsia="Times New Roman" w:hAnsi="Times New Roman"/>
          <w:sz w:val="18"/>
          <w:szCs w:val="18"/>
          <w:color w:val="auto"/>
        </w:rPr>
      </w:pPr>
    </w:p>
    <w:p>
      <w:pPr>
        <w:jc w:val="both"/>
        <w:ind w:left="660" w:right="160" w:hanging="330"/>
        <w:spacing w:after="0" w:line="26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 commercial strategy and thereafter commercialize our current or any future product candidates in the United States and internationally, if approved for marketing, sale and distribution in such countries and territories, whether alone or in collaboration with others, including through the potential out-licensing of our product candidates;</w:t>
      </w:r>
    </w:p>
    <w:p>
      <w:pPr>
        <w:spacing w:after="0" w:line="123" w:lineRule="exact"/>
        <w:rPr>
          <w:rFonts w:ascii="Times New Roman" w:cs="Times New Roman" w:eastAsia="Times New Roman" w:hAnsi="Times New Roman"/>
          <w:sz w:val="18"/>
          <w:szCs w:val="18"/>
          <w:color w:val="auto"/>
        </w:rPr>
      </w:pPr>
    </w:p>
    <w:p>
      <w:pPr>
        <w:ind w:left="660" w:right="280" w:hanging="330"/>
        <w:spacing w:after="0" w:line="28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applicants’ products authorized for marketing before or after we receive regulatory authorization, if any, for our product candidates;</w:t>
      </w:r>
    </w:p>
    <w:p>
      <w:pPr>
        <w:spacing w:after="0" w:line="108" w:lineRule="exact"/>
        <w:rPr>
          <w:rFonts w:ascii="Times New Roman" w:cs="Times New Roman" w:eastAsia="Times New Roman" w:hAnsi="Times New Roman"/>
          <w:sz w:val="18"/>
          <w:szCs w:val="18"/>
          <w:color w:val="auto"/>
        </w:rPr>
      </w:pPr>
    </w:p>
    <w:p>
      <w:pPr>
        <w:ind w:left="660" w:right="340" w:hanging="330"/>
        <w:spacing w:after="0" w:line="28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managed care plans, private insurers, government payors (such as Medicare and Medicaid) and other third-party payors for any of our product candidates that may be approved;</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of our treatment or dosing regimen;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460" w:hanging="330"/>
        <w:spacing w:after="0" w:line="28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payors and patients of the benefits, safety and efficacy of our current or any future product candidates, if approved, including relative to alternative and competing treatments;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demand for our current or future product candidates, if approved;</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enforce intellectual property rights in and to our product candidates; and</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third-party patent interference, intellectual property challenges or intellectual property infringement claims.</w:t>
      </w:r>
    </w:p>
    <w:p>
      <w:pPr>
        <w:spacing w:after="0" w:line="16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These factors, many of which are beyond our control, could cause us to experience significant delays or an inability to obtain regulatory approvals or commercialize our current or future product candidates. Even if regulatory approvals are obtained, we may never be able to successfully commercialize any product candidates. Accordingly, we cannot provide assurances that we will be able to generate sufficient revenue through the sale of our product candidates or any future product candidates to continue our business or achieve profitability.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preclinical studies, early clinical trials or analyses may not be indicative of results obtained in later trials.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results of preclinical studies, early clinical trials or analyses of a product candidate may not be predictive of the results of later-stage clinical trials. A product candidate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In addition, conclusions based on promising data from analyses of clinical results may be shown to be incorrect when implemented in prospective clinical trials. Even if our future clinical trials are completed as planned, we cannot be certain that their results will support the safety and efficacy sufficient to obtain regulatory approval.</w:t>
      </w:r>
    </w:p>
    <w:p>
      <w:pPr>
        <w:spacing w:after="0" w:line="128"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1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studies. Interim or preliminary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2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whether used alone or in combination with other approved products or product candidates, may cause serious adverse events or undesirable side effects, which may delay or prevent marketing approval, or, if approved, require it to be taken off the market, require it to include safety warnings or otherwise limit its sales.</w:t>
      </w:r>
    </w:p>
    <w:p>
      <w:pPr>
        <w:spacing w:after="0" w:line="10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Serious adverse events or undesirable side effects caused by a product candidate, whether used alone or in combination with other approved products or product candidates, could cause us or regulatory authorities to interrupt, delay or halt clinical trials and could result in a more restrictive label or the delay or denial of regulatory approval by the FDA or other comparable foreign authorities. Results of any clinical trial we conduct could reveal a high and unacceptable severity and prevalence of side effects or unexpected characteristics. For example, certain patients treated with CTIM-76 or CT-95 experienced adverse events that included, but were not limited to, cytokine release syndrome, fatigue, liver enzyme elevations and nausea.</w:t>
      </w:r>
    </w:p>
    <w:p>
      <w:pPr>
        <w:spacing w:after="0" w:line="22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If unacceptable side effects arise in the development of any product candidate, we, the FDA or comparable foreign regulatory authorities, the institutional review boards (“IRBs”) at the institutions in which our studies are conducted, or the data safety monitoring board, if constituted for our clinical trials, could recommend a suspension or termination of our clinical trials, or the FDA or comparable foreign regulatory authorities could order us to cease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 development of or deny approval of a product candidate for any or all targeted indications. In addition, drug-related side effects could affect patient recruitment or the ability of enrolled patients to complete a trial or result in potential product liability claims. In addition, these side effects may not be appropriately recognized or managed by the treating medical staff. We expect to have to train medical personnel using a product candidate, whether used alone or in combination with other approved products or product candidates, to understand the side effect profiles for our clinical trials and upon any commercialization of any product candidate. Inadequate training in recognizing or managing the potential side effects of any product candidate, whether used alone or in combination with other approved products or product candidates, could result in patient injury or death. Any of these occurrences may harm our business, financial condition and prospects significantly.</w:t>
      </w:r>
    </w:p>
    <w:p>
      <w:pPr>
        <w:spacing w:after="0" w:line="13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Additionally, if any product candidate receives marketing approval, and we or others later identify undesirable side effects caused by such product, whether used alone or in combination with other approved products or product candidates, a number of potentially significant negative consequences could result, including:</w:t>
      </w:r>
    </w:p>
    <w:p>
      <w:pPr>
        <w:spacing w:after="0" w:line="123" w:lineRule="exact"/>
        <w:rPr>
          <w:sz w:val="20"/>
          <w:szCs w:val="20"/>
          <w:color w:val="auto"/>
        </w:rPr>
      </w:pP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contraindication;</w:t>
      </w:r>
    </w:p>
    <w:p>
      <w:pPr>
        <w:spacing w:after="0" w:line="115" w:lineRule="exact"/>
        <w:rPr>
          <w:rFonts w:ascii="Times New Roman" w:cs="Times New Roman" w:eastAsia="Times New Roman" w:hAnsi="Times New Roman"/>
          <w:sz w:val="18"/>
          <w:szCs w:val="18"/>
          <w:color w:val="auto"/>
        </w:rPr>
      </w:pPr>
    </w:p>
    <w:p>
      <w:pPr>
        <w:ind w:left="660" w:right="60" w:hanging="330"/>
        <w:spacing w:after="0" w:line="28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4" w:lineRule="exact"/>
        <w:rPr>
          <w:rFonts w:ascii="Times New Roman" w:cs="Times New Roman" w:eastAsia="Times New Roman" w:hAnsi="Times New Roman"/>
          <w:sz w:val="18"/>
          <w:szCs w:val="18"/>
          <w:color w:val="auto"/>
        </w:rPr>
      </w:pPr>
    </w:p>
    <w:p>
      <w:pPr>
        <w:ind w:left="660" w:right="280" w:hanging="330"/>
        <w:spacing w:after="0" w:line="28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or create a medication guide outlining the risks of such side effects for distribution to patients;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product candidate, if approved, and could significantly harm our business, results of operations and prospects.</w:t>
      </w:r>
    </w:p>
    <w:p>
      <w:pPr>
        <w:spacing w:after="0" w:line="10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If we encounter difficulties or delays enrolling patients in our clinical trials, our clinical development activities could be delayed or otherwise adversely affected.</w:t>
      </w:r>
    </w:p>
    <w:p>
      <w:pPr>
        <w:spacing w:after="0" w:line="10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identify and enroll a specified number of patients for each of our clinical trials. We may not be able to initiate or continue clinical trials for our current or any future product candidates if we are unable to identify and enroll a sufficient number of eligible patients to participate in these trials as required by the FDA or similar regulatory authorities outside the United States. Subject enrollment, a significant factor in the timing of clinical trials, is affected by many factors, including the size and characteristics of the patient population, the proximity of patients to clinical sites, the eligibility and exclusion criteria for the trial, the design of the clinical trial, the ability to obtain and maintain informed consents, the risk that enrolled patients will not complete a clinical trial, our ability to recruit clinical trial investigators with the appropriate competencies and experience, and competing clinical trials and clinicians’ and patients’ perceptions as to the potential advantages and risks of the product candidate being studied in relation to other available therapies, including any new products that may be approved for the indications we are investigating as well as any product candidates under development. We will be required to identify and enroll a sufficient number of patients for each of our clinical trials and monitor such patients adequately during and after treatment. Potential patients for any planned clinical trials may not be adequately diagnosed or identified with the diseases that we are targeting, which could adversely impact the outcomes of our trials and could have safety concerns for the potential patients. Potential patients for any planned clinical trials may also not meet the entry criteria for such trials.</w:t>
      </w:r>
    </w:p>
    <w:p>
      <w:pPr>
        <w:spacing w:after="0" w:line="133"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auto"/>
        </w:rPr>
        <w:t>Additionally, other pharmaceutical companies targeting these same diseases are recruiting clinical trial patients from these patient populations, which may make it more difficult to fully enroll our clinical trials. The process of finding and recruiting patients may prove costly. The timing of our clinical trials depends, in part, on the speed at which we can recruit patients to participate in our trials, as well as completion of required follow-up periods.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eligibility criteria of our clinical trials, once established, may further limit the pool of available trial participants. If patients are unwilling or unable to participate in our trials for any reason, including the existence of concurrent clinical trials for similar target populations, the availability of approved or authorized therapies, or the fact that enrolling in our trials may prevent patients from taking a different product, or we otherwise have difficulty enrolling a sufficient number of patients, the timeline for recruiting patients, conducting trials, and obtaining regulatory approval of our product candidates may be delayed. Our inability to enroll a specified number of patients for any of our future clinical trials would result in significant delays or may require us to abandon one or more clinical trials altogether.</w:t>
      </w:r>
    </w:p>
    <w:p>
      <w:pPr>
        <w:spacing w:after="0" w:line="132"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8"/>
          <w:szCs w:val="18"/>
          <w:color w:val="auto"/>
        </w:rPr>
        <w:t>We cannot assure you that our assumptions used in determining expected clinical trial timelines are correct or that we will not experience delays or difficulties in enrollment, or be required by the FDA or similar regulatory authorities outside the United States to increase our enrollment, which would result in the delay of completion of such trials beyond our expected timelines.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primarily upon our ability to identify, develop and commercialize products using our proprietary technologies.</w:t>
      </w:r>
    </w:p>
    <w:p>
      <w:pPr>
        <w:spacing w:after="0" w:line="17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We have initiated Phase 1 clinical trials for CTIM-76 and CT-95 in 2025 and are planning for the initiation of a first-in-human trial for CT-202. We may be unsuccessful in advancing any product candidate during clinical development or otherwise into clinical development or in identifying and developing additional product candidates.</w:t>
      </w:r>
    </w:p>
    <w:p>
      <w:pPr>
        <w:spacing w:after="0" w:line="12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Our ability to identify and develop product candidates is subject to the numerous risks associated with preclinical, clinical and early stage biopharmaceutical development activities, including that:</w:t>
      </w:r>
    </w:p>
    <w:p>
      <w:pPr>
        <w:spacing w:after="0" w:line="108" w:lineRule="exact"/>
        <w:rPr>
          <w:sz w:val="20"/>
          <w:szCs w:val="20"/>
          <w:color w:val="auto"/>
        </w:rPr>
      </w:pPr>
    </w:p>
    <w:p>
      <w:pPr>
        <w:ind w:left="660" w:right="460" w:hanging="330"/>
        <w:spacing w:after="0" w:line="28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assemble sufficient resources to acquire or discover additional product candidates, including through the potential out-licensing of our product candidates;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collaborative arrangements to facilitate development of product candidates;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be covered by third parties’ patents or other exclusive rights;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pathway for a product candidate may be too complex, expensive or otherwise difficult to navigate successfully; or</w:t>
      </w:r>
    </w:p>
    <w:p>
      <w:pPr>
        <w:spacing w:after="0" w:line="169" w:lineRule="exact"/>
        <w:rPr>
          <w:rFonts w:ascii="Times New Roman" w:cs="Times New Roman" w:eastAsia="Times New Roman" w:hAnsi="Times New Roman"/>
          <w:sz w:val="18"/>
          <w:szCs w:val="18"/>
          <w:color w:val="auto"/>
        </w:rPr>
      </w:pPr>
    </w:p>
    <w:p>
      <w:pPr>
        <w:ind w:left="660" w:right="600" w:hanging="330"/>
        <w:spacing w:after="0" w:line="264"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be shown to not be effective, have harmful side effects or otherwise pose risks not outweighed by such product candidate’s benefits or have other characteristics that may make the products impractical to manufacture, unlikely to receive any required marketing approval, unlikely to generate sufficient market demand or otherwise not achieve profitable commercialization.</w:t>
      </w:r>
    </w:p>
    <w:p>
      <w:pPr>
        <w:spacing w:after="0" w:line="123"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color w:val="auto"/>
        </w:rPr>
        <w:t>Even if we do commence additional clinical trials of product candidates and continue to identify new product candidates, such product candidates may never be approved. Failure to successfully identify and develop new product candidates and obtain regulatory approvals for our product candidates would have a material adverse effect on our business and financial condition and could cause us to cease operations.</w:t>
      </w:r>
    </w:p>
    <w:p>
      <w:pPr>
        <w:spacing w:after="0" w:line="119"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innovative therapy approach is based on novel ideas and technologies that are unproven and may not result in marketable products, which exposes us to unforeseen risks and makes it difficult for us to predict the time and cost of product development and potential for regulatory approval.</w:t>
      </w:r>
    </w:p>
    <w:p>
      <w:pPr>
        <w:spacing w:after="0" w:line="10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Our foundational science and product development approach are based on the selective targeting of solid-tumor cancers to elicit meaningful anticancer activity. We believe that this approach may offer an improved therapeutic effect by redirecting T-cell-mediated lysis toward malignant cells expressing the tumor antigens that are targeted (CLDN6, MSLN or Nectin-4). However, this approach to treating cancer is novel and the scientific research that forms the basis of our efforts to develop therapeutics that effectively inhibit membrane protein targets is both preliminary and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As such, we cannot assure you that even if we are able to develop cancer therapeutic candidates capable of redirecting T-cell-mediated lysis toward malignant cells, that such therapy would safely and effectively treat cancers. We may spend substantial funds attempting to develop this approach and never succeed in developing a marketable therapeutic.</w:t>
      </w:r>
    </w:p>
    <w:p>
      <w:pPr>
        <w:spacing w:after="0" w:line="1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Furthermore, no regulatory authority has granted approval for a T cell redirecting cancer therapy based on a selective targeting of CLDN6, MSLN or Nectin-4 positive cancers. As such, we believe the FDA has limited experience with evaluating our approach, which may increase the complexity, uncertainty and length of the regulatory approval process for our product candidates. We may never receive approval to market and commercialize any product candidate. Even if we obtain regulatory approval, the approval may be for targets, disease indications, lines of therapy or patient populations that are not as broad as we intended or desired or may require labeling that includes significant use or distribution restrictions or safety warnings.</w:t>
      </w:r>
    </w:p>
    <w:p>
      <w:pPr>
        <w:spacing w:after="0" w:line="128"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a product candidate does not achieve projected development milestones or commercialization in the announced or expected timeframes, the further development or commercialization of such product candidate may be delayed, and our business will be harmed.</w:t>
      </w:r>
    </w:p>
    <w:p>
      <w:pPr>
        <w:spacing w:after="0" w:line="105"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We sometimes estimate, and may in the future estimate, the timing of the accomplishment of various scientific, clinical, manufacturing, regulatory and other product development objectives. These milestones may include our expectations regarding the commencement or completion of scientific studies or clinical trials, the submission of regulatory filings, the receipt of marketing approval or the realization of other commercialization objectives.</w:t>
      </w:r>
    </w:p>
    <w:p>
      <w:pPr>
        <w:spacing w:after="0" w:line="12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 achievement of many of these milestones may be outside of our control. All of these milestones are based on a variety of assumptions, including assumptions regarding capital resources, constraints and priorities, progress of and results from development activities and the receipt of key regulatory approvals or actions, any of which may cause the timing of achievement of the milestones to vary considerably from our estimates. For example, in 2025 we adjusted our guidance regarding the anticipated dosing of the first patient in the CT-95 Phase 1 trial.</w:t>
      </w:r>
    </w:p>
    <w:p>
      <w:pPr>
        <w:spacing w:after="0" w:line="12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If we or our collaborators fail to achieve announced milestones in the expected timeframes, the commercialization of the affected product candidate may be delayed, our credibility may be undermined, our business and results of operations may be harmed, and the price of our common stock may decline.</w:t>
      </w:r>
    </w:p>
    <w:p>
      <w:pPr>
        <w:spacing w:after="0" w:line="104"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products that we develop alone or with collaborators.</w:t>
      </w:r>
    </w:p>
    <w:p>
      <w:pPr>
        <w:spacing w:after="0" w:line="105"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We face an inherent risk of product liability and professional indemnity exposure related to the testing in clinical trials of our product candidates. We will face an even greater liability risk if we commercially sell any products that we or our collaborators may develop for human use.</w:t>
      </w:r>
    </w:p>
    <w:p>
      <w:pPr>
        <w:spacing w:after="0" w:line="10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Manufacturing defects, errors in product distribution or storage processes, improper administration or application and known or unknown side effects of product usage may result in liability claims against us or third parties with which we have relationships. These actions could include claims resulting from acts by our collaborators, licensees and subcontractors over which we have little or no control. For example, our liability could be sought by patients participating in clinical trials for potential therapeutic product candidates as a result of unexpected side effects, improper product administration or the deterioration of a patient’s condition, patient injury or even death.</w:t>
      </w:r>
    </w:p>
    <w:p>
      <w:pPr>
        <w:spacing w:after="0" w:line="13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Criminal or civil proceedings might be filed against us by patients, regulatory authorities, biopharmaceutical companies and any other third party using or marketing any product candidates or products that we develop alone or with collaborators. On occasion, large judgments have been awarded in class action lawsuits based on products that had unanticipated adverse effects. If we cannot successfully defend ourselves against claims that product candidates or products we develop alone or with collaborators caused harm, we could incur substantial liabilities.</w:t>
      </w:r>
    </w:p>
    <w:p>
      <w:pPr>
        <w:spacing w:after="0" w:line="128"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Clinical development does not always fully characterize the safety and efficacy profile of a new medicine, and it is always possible that a drug or biologic, even after regulatory approval, may exhibit unforeseen side effects.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 were to cause adverse side effects during clinical trials or after approval, we may be exposed to substantial liabilities.</w:t>
      </w:r>
    </w:p>
    <w:p>
      <w:pPr>
        <w:spacing w:after="0" w:line="169"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Product liability insurance coverage may not be adequate to cover all liabilities that we may incur. We anticipate that we will need to increase our insurance coverage when we expand our clinical trials and if we or our collaborators successfully commercialize any products.</w:t>
      </w:r>
    </w:p>
    <w:p>
      <w:pPr>
        <w:spacing w:after="0" w:line="10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by the FDA to obtain approval of a companion diagnostic in connection with approval of our current product candidates, and if we do not obtain, or face delays in obtaining, FDA approval of such companion diagnostic, we will not be able to commercialize such product candidate and our ability to generate revenue will be materially impaired.</w:t>
      </w:r>
    </w:p>
    <w:p>
      <w:pPr>
        <w:spacing w:after="0" w:line="10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We have collaborated, and expect to continue to collaborate, with diagnostic companies during our clinical trial enrollment process to help identify patients with characteristics that we believe will be most likely to respond to our product candidates. If a satisfactory companion diagnostic is not commercially available in this situation, we may be required to develop or obtain such diagnostic, which would be subject to regulatory approval requirements. The process of obtaining or creating a diagnostic is time consuming and costly.</w:t>
      </w:r>
    </w:p>
    <w:p>
      <w:pPr>
        <w:spacing w:after="0" w:line="214"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18"/>
          <w:szCs w:val="18"/>
          <w:color w:val="auto"/>
        </w:rPr>
        <w:t>Companion diagnostics are developed in conjunction with clinical programs for the associated product candidate and are subject to regulation as medical devices by the FDA and comparable foreign regulatory authorities, and the FDA has generally required premarket approval of companion diagnostics for cancer therapies.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spacing w:after="0" w:line="21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We and/or third-party collaborators may encounter difficulties in developing and obtaining approval or clearance for companion diagnostics. Any delay or failure by us or third-party collaborators to develop or obtain regulatory approval or clearance of a companion diagnostic could delay or prevent approval or continued marketing of the relevant product candidate. We or our collaborators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designation from the FDA may not actually lead to a faster development or regulatory review or approval process.</w:t>
      </w:r>
    </w:p>
    <w:p>
      <w:pPr>
        <w:spacing w:after="0" w:line="137" w:lineRule="exact"/>
        <w:rPr>
          <w:sz w:val="20"/>
          <w:szCs w:val="20"/>
          <w:color w:val="auto"/>
        </w:rPr>
      </w:pPr>
    </w:p>
    <w:p>
      <w:pPr>
        <w:ind w:right="540"/>
        <w:spacing w:after="0" w:line="249" w:lineRule="auto"/>
        <w:rPr>
          <w:sz w:val="20"/>
          <w:szCs w:val="20"/>
          <w:color w:val="auto"/>
        </w:rPr>
      </w:pPr>
      <w:r>
        <w:rPr>
          <w:rFonts w:ascii="Times New Roman" w:cs="Times New Roman" w:eastAsia="Times New Roman" w:hAnsi="Times New Roman"/>
          <w:sz w:val="18"/>
          <w:szCs w:val="18"/>
          <w:color w:val="auto"/>
        </w:rPr>
        <w:t>Investigational biological product candidates are eligible for fast track designation if they are intended to treat a serious or life-threatening disease or condition and demonstrate the potential to address unmet medical needs for the disease or condition. The sponsor of a fast track designated product candidate has opportunities for more frequent interactions with the applicable FDA review team during product candidate development.</w:t>
      </w:r>
    </w:p>
    <w:p>
      <w:pPr>
        <w:spacing w:after="0" w:line="202"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Even if the FDA grants fast track designation to one of our product candidates, such designation may not result in a faster development process, review or approval compared to product candidates considered for approval under conventional FDA procedures, and the designation does not assure ultimate approval by the FDA. In addition, the FDA may later decide that the product candidate no longer meets the conditions for qualification and rescind the designation.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w:t>
      </w:r>
    </w:p>
    <w:p>
      <w:pPr>
        <w:spacing w:after="0" w:line="16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We may seek orphan drug designation in the U.S. and in the European Union for our product candidates. Upon receipt of FDA approval, orphan drug status would provide us with seven years of market exclusivity in the U.S. under the Orphan Drug Act. However, there is no guarantee that the FDA will grant orphan drug designation for any of our product candidates for any indication, which would make us ineligible for the additional exclusivity and other benefits of orphan drug designation. Moreover, there can be no assurance that another company also holding orphan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drug designation for the same indication, or which may receive orphan drug designation in the future, will not receive approval prior to us, in which case our competitor would have the benefit of the seven years of market exclusivity, and we would be unable to commercialize our product for the same indication until the expiration of such seven-year period. Even if we are the first to obtain approval for the orphan drug indication, there are circumstances under which a competing product may be approved for the same indication during our seven-year period of exclusivity.</w:t>
      </w:r>
    </w:p>
    <w:p>
      <w:pPr>
        <w:spacing w:after="0" w:line="21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generally a disease or condition that affects fewer than 200,000 individuals in the U.S. and for which there is no reasonable expectation that the cost of developing and making a drug available in the U.S. for this type of disease or condition will be recovered from sales of the product. Orphan drug designation must be requested before submitting a marketing application. After the FDA grants orphan drug designation, the identity of the therapeutic agent and its potential orphan use are disclosed publicly by the FDA. Orphan designation does not convey any advantage in or shorten the duration of regulatory review and approval process. In addition to the potential period of exclusivity, orphan designation makes a company eligible for grant funding of up to $0.4 million per year for four years to defray costs of clinical trial expenses, tax credits for clinical research expenses and potential exemption from the FDA application user fee. There can be no assurance that we will receive orphan drug designation for any of our drug candidates for any additional indications if we elect to seek such designation. Even if orphan designation is granted, it may be withdrawn by the FDA for non-compliance with regulations.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 Structure and Operations</w:t>
      </w:r>
    </w:p>
    <w:p>
      <w:pPr>
        <w:spacing w:after="0" w:line="169"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reliance on a central team consisting of a limited number of employees and consultants who provide various administrative, research and development, and other services across our organization presents operational challenges that may adversely affect our business.</w:t>
      </w:r>
    </w:p>
    <w:p>
      <w:pPr>
        <w:spacing w:after="0" w:line="1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March 1, 2026, we had fifteen full-time employees. We also have various consultants who we rely on for research and development, business development and other services. While we believe this structure enables us to reduce certain infrastructure costs, the small size of our centralized team may limit our ability to devote adequate personnel, time and resources to support the operations of our business, including our research and development activities, and the management of financial, accounting and reporting matters. If our centralized team fails to provide adequate administrative, research and development, or other services across our entire organization, our business, financial condition and results of operations could be harmed.</w:t>
      </w:r>
    </w:p>
    <w:p>
      <w:pPr>
        <w:spacing w:after="0" w:line="128"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Chief Executive Officer, Chief Medical Officer, Chief Financial Officer, Chief Legal Officer, and other key executives and to attract, retain and motivate qualified personnel.</w:t>
      </w:r>
    </w:p>
    <w:p>
      <w:pPr>
        <w:spacing w:after="0" w:line="10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We are highly dependent on the research and development experience, technical skills, leadership and continued service of certain members of our management and scientific teams, including Martin Lehr, our Chief Executive Officer, Dr. Karen Chagin, our Chief Medical Officer, Jennifer Minai-Azary, our Chief Financial Officer, and Alex Levit, our Chief Legal Officer.</w:t>
      </w:r>
    </w:p>
    <w:p>
      <w:pPr>
        <w:spacing w:after="0" w:line="123" w:lineRule="exact"/>
        <w:rPr>
          <w:sz w:val="20"/>
          <w:szCs w:val="20"/>
          <w:color w:val="auto"/>
        </w:rPr>
      </w:pPr>
    </w:p>
    <w:p>
      <w:pPr>
        <w:jc w:val="both"/>
        <w:ind w:right="780"/>
        <w:spacing w:after="0" w:line="264" w:lineRule="auto"/>
        <w:rPr>
          <w:sz w:val="20"/>
          <w:szCs w:val="20"/>
          <w:color w:val="auto"/>
        </w:rPr>
      </w:pPr>
      <w:r>
        <w:rPr>
          <w:rFonts w:ascii="Times New Roman" w:cs="Times New Roman" w:eastAsia="Times New Roman" w:hAnsi="Times New Roman"/>
          <w:sz w:val="18"/>
          <w:szCs w:val="18"/>
          <w:color w:val="auto"/>
        </w:rPr>
        <w:t>Although we have formal employment agreements with all of our executive officers, these agreements do not prevent them from terminating their employment with us at any time. The loss of the services of any of these persons could impede the achievement of our research, development and commercialization objectives.</w:t>
      </w:r>
    </w:p>
    <w:p>
      <w:pPr>
        <w:spacing w:after="0" w:line="1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if we retain commercialization responsibility for any product candidate we develop alone or with collaborators, sales and marketing personnel, will also be critical to our success. We may not be able to attract and retain these personnel on acceptable terms or at all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strategies. Our consultants and advisors may be employed by employers other than us and may have commitments under consulting or advisory contracts with other entities that may limit their availability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8"/>
          <w:szCs w:val="18"/>
          <w:color w:val="auto"/>
        </w:rPr>
        <w:t>The inability to recruit, integrate, motivate and retain additional skilled and qualified personnel, or the loss of services of certain executives, key employees, consultants or advisors, may impede the progress of our research, development and commercialization objectives and have a material adverse effect on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expand our organization, and we may experience difficulties in managing this growth, which could disrupt our operations.</w:t>
      </w:r>
    </w:p>
    <w:p>
      <w:pPr>
        <w:spacing w:after="0" w:line="17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color w:val="auto"/>
        </w:rPr>
        <w:t>We will need to significantly expand our organization, and our future financial performance, ability to develop and commercialize product candidates alone or with collaborators and ability to compete effectively will depend in part on our ability to effectively manage any future growth. We may have difficulty identifying, hiring and integrating new personnel.</w:t>
      </w:r>
    </w:p>
    <w:p>
      <w:pPr>
        <w:spacing w:after="0" w:line="123"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Many of the biopharmaceutical companies that we compete against for qualified personnel and consultants have greater financial and other resources, different risk profiles and a longer history than we do. If we are unable to continue to attract and retain high-quality personnel and consultants, the rate and success at which we can identify and develop product candidates, enter into collaborative arrangements and otherwise operate our business will be limited.</w:t>
      </w:r>
    </w:p>
    <w:p>
      <w:pPr>
        <w:spacing w:after="0" w:line="10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Future growth would impose significant additional responsibilities on our management, including the need to identify, recruit, maintain, motivate and integrate additional employees, consultants and contractors. Management may need to divert a disproportionate amount of its attention away from our day-to-day activities and devote a substantial amount of time to managing these growth activities. Due to our limited financial resources and the limited experience of our management team in managing a company with such anticipated growth, we may not be able to effectively manage the expected expansion of our operations or recruit and train additional qualified personnel.</w:t>
      </w:r>
    </w:p>
    <w:p>
      <w:pPr>
        <w:spacing w:after="0" w:line="13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Moreover, the expected physical expansion of our operations may lead to significant costs and may divert our management and business development resources from other projects, such as the development of product candidates. If we are not able to effectively manage the expansion of our operations, it may result in weaknesses in our infrastructure, increase our expenses more than expected, give rise to operational mistakes, loss of business opportunities, loss of employees, consultants and contractors and reduced productivity.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7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If we obtain marketing approval for any product candidates that we or our collaborators may develop, we intend to acquire insurance coverage to include the sale of commercial products, but we may be unable to obtain such insurance on commercially reasonable terms or in adequate amounts. We do not carry specific biological or hazardous waste insurance coverage, and our property, casualty and general liability insurance policies specifically exclude coverage for damages and fines arising from biological or hazardous waste exposure or contamination.</w:t>
      </w:r>
    </w:p>
    <w:p>
      <w:pPr>
        <w:spacing w:after="0" w:line="13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Accordingly, in the event of contamination or injury, we could be held liable for damages or be penalized with fines in an amount exceeding our resources, and clinical trials or regulatory approvals for any product candidate could be suspended. As a public company it is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our board committees or as our executive officers.</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future, we may not be able to maintain insurance coverage at a reasonable cost or in sufficient amounts to protect us against losses. We do not know if we will be able to maintain existing insurance with adequate levels of coverage, and any liability insurance coverage we acquire in the future may not be sufficient to reimburse us for any expenses or losses we may suffer. A successful liability claim or series of claims brought against us could require us to pay substantial amounts and cause our share price to decline and, if judgments exceed our insurance coverage, could adversely affect our results of operations and business, including preventing or limiting the development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could adversely affect our current and projected business operations, financial condition and results of operations.</w:t>
      </w:r>
    </w:p>
    <w:p>
      <w:pPr>
        <w:spacing w:after="0" w:line="1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us and our suppliers and collaboration partners. Any supplier or collaboration partner bankruptcy or insolvency, or the failure of any collaboration partner to make payments when due, or any breach or default by a supplier or collaboration partner, or the loss of any significant supplier or collaboration partner relationships, could result in material losses to us and may have a material adverse impact on our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69"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expect to, and do, depend on collaborations with third parties for certain research, development and commercialization activities, and if any such collaborations are not successful, it may harm our business and prospects.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with collaborators poses several significant risks, including the following:</w:t>
      </w:r>
    </w:p>
    <w:p>
      <w:pPr>
        <w:spacing w:after="0" w:line="169" w:lineRule="exact"/>
        <w:rPr>
          <w:sz w:val="20"/>
          <w:szCs w:val="20"/>
          <w:color w:val="auto"/>
        </w:rPr>
      </w:pPr>
    </w:p>
    <w:p>
      <w:pPr>
        <w:ind w:left="660" w:right="20" w:hanging="330"/>
        <w:spacing w:after="0" w:line="259"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resource allocation and other developmental decisions made by our collaborators about the product candidates that we seek to develop with them may result in the delay or termination of research programs, studies or trials, repetition of or initiation of new studies or trials or provision of insufficient funding or resources for the completion of studies or trials or the successful marketing and distribution of any product candidates that may receive approval;</w:t>
      </w:r>
    </w:p>
    <w:p>
      <w:pPr>
        <w:spacing w:after="0" w:line="127" w:lineRule="exact"/>
        <w:rPr>
          <w:rFonts w:ascii="Times New Roman" w:cs="Times New Roman" w:eastAsia="Times New Roman" w:hAnsi="Times New Roman"/>
          <w:sz w:val="18"/>
          <w:szCs w:val="18"/>
          <w:color w:val="auto"/>
        </w:rPr>
      </w:pPr>
    </w:p>
    <w:p>
      <w:pPr>
        <w:ind w:left="660" w:right="220" w:hanging="330"/>
        <w:spacing w:after="0" w:line="26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 candidates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23" w:lineRule="exact"/>
        <w:rPr>
          <w:rFonts w:ascii="Times New Roman" w:cs="Times New Roman" w:eastAsia="Times New Roman" w:hAnsi="Times New Roman"/>
          <w:sz w:val="18"/>
          <w:szCs w:val="18"/>
          <w:color w:val="auto"/>
        </w:rPr>
      </w:pPr>
    </w:p>
    <w:p>
      <w:pPr>
        <w:ind w:left="660" w:right="560" w:hanging="330"/>
        <w:spacing w:after="0" w:line="310" w:lineRule="auto"/>
        <w:tabs>
          <w:tab w:leader="none" w:pos="65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and</w:t>
      </w:r>
    </w:p>
    <w:p>
      <w:pPr>
        <w:spacing w:after="0" w:line="86" w:lineRule="exact"/>
        <w:rPr>
          <w:rFonts w:ascii="Times New Roman" w:cs="Times New Roman" w:eastAsia="Times New Roman" w:hAnsi="Times New Roman"/>
          <w:sz w:val="17"/>
          <w:szCs w:val="17"/>
          <w:color w:val="auto"/>
        </w:rPr>
      </w:pPr>
    </w:p>
    <w:p>
      <w:pPr>
        <w:ind w:left="660" w:right="440" w:hanging="330"/>
        <w:spacing w:after="0" w:line="28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collaborators that result in the delay or termination of the research, development or commercialization activities or that result in costly litigation or arbitration that diverts management attention and resources.</w:t>
      </w:r>
    </w:p>
    <w:p>
      <w:pPr>
        <w:spacing w:after="0" w:line="10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Our ability to generate revenues from these arrangements will depend on our collaborators’ abilities to successfully perform the functions assigned to them in these arrangements. If our collaborations, including those in which we may out-license our product candidates, do not result in the successful development and commercialization of product candidates, or if one of our collaborators terminates its agreement with us, we may not receive the expected deliverables or services from our collaborators, nor receive any future funding or milestone or royalty payments under the collaboration.</w:t>
      </w:r>
    </w:p>
    <w:p>
      <w:pPr>
        <w:spacing w:after="0" w:line="12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If we do not receive the funding or deliverables or services from our collaborators that we expect under these agreements, our development of product candidates could be delayed and we may need additional resources to develop such product candidates. In addition, if one of our collaborators terminates its agreement with us, we may find it more difficult to find a suitable replacement collaborator or attract new collaborators and may need to raise additional capital to pursue further development or commercialization of the applicable product candidates.</w:t>
      </w:r>
    </w:p>
    <w:p>
      <w:pPr>
        <w:spacing w:after="0" w:line="128"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These events could delay development programs and negatively impact the perception of our company in business and financial communities. Failure to develop or maintain relationships with any current collaborators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could result in the loss of opportunity to work with that collaborator or reputational damage that could impact our relationships with other collaborators in the relatively small industry communities in which we operate.</w:t>
      </w:r>
    </w:p>
    <w:p>
      <w:pPr>
        <w:spacing w:after="0" w:line="108"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Moreover, all of the risks relating to product development, regulatory approval and commercialization described in this Form 10-K apply to the activities of our collaborators. If our existing collaboration agreements or any collaborative or strategic relationships we may establish in the future are not effective and successful, it may damage our reputation and business prospects, delay or prevent the development and commercialization of product candidates and inhibit or preclude our ability to realize any revenues.</w:t>
      </w:r>
    </w:p>
    <w:p>
      <w:pPr>
        <w:spacing w:after="0" w:line="12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disagreements or disputes with our licensees, licensors and other counterparties relating to the development and/or commercialization of our current or past product candidates, which may be time consuming, costly and could harm our efforts to develop our current or future product candidates.</w:t>
      </w:r>
    </w:p>
    <w:p>
      <w:pPr>
        <w:spacing w:after="0" w:line="11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We have entered into various agreements and licenses with licensees, licensors and other counterparties related to the development and/or commercialization of our current and past product candidates. These agreements and licenses impose a variety of obligations on us and the counterparties to such agreements and licenses. Disagreements and disputes between us and certain counterparties may arise, such as regarding each parties’ obligations under the respective agreement or license.</w:t>
      </w:r>
    </w:p>
    <w:p>
      <w:pPr>
        <w:spacing w:after="0" w:line="12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Any such disagreement or dispute could become time consuming, costly and could harm our efforts to develop current or future product candidates. Any disagreements or disputes with such parties that lead to litigation, arbitration or similar proceedings will result in us incurring significant legal expenses and potential significant legal liability and could jeopardize our ability to continue development of the related product candidate.</w:t>
      </w:r>
    </w:p>
    <w:p>
      <w:pPr>
        <w:spacing w:after="0" w:line="12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Further, any disagreements or disputes over our obligations or intellectual property that we have licensed or acquired may prevent or impair our ability to maintain our current arrangements on acceptable terms. If we fail to meet our obligations under these agreements or licenses, the respective counterparty may have the right to terminate the respective agreement or license and to re-obtain the related technology as well as aspects of any intellectual property controlled by us and developed during the period the agreement or license was in force that relates to the applicable technology. While we would expect to exercise our rights and remedies available to us in the event we fail to meet our obligations under such agreement or license in any material respect and otherwise seek to preserve our rights under the technology licensed to or acquired by us, we may not be able to do so in a timely manner, at an acceptable cost or at all. Any uncured breach under any agreement or license relating to a product candidate could result in our loss of rights and may lead to a complete termination of the respective agreement or license. Termination of one of these agreements or licenses for any reason could prevent us from completing a transaction to sell or out-license a product candidate.</w:t>
      </w:r>
    </w:p>
    <w:p>
      <w:pPr>
        <w:spacing w:after="0" w:line="13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Additionally, any disagreements or disputes over our counterparties’ obligations or intellectual property rights that we have licensed or acquired may prevent or impair our ability to develop any of our product candidates. If any counterparty fails to meet their obligations under these agreements or licenses or does not have the right to intellectual property rights that they may contractually claim to have, it could materially impact our development of such product candidate. While we may have the right to terminate the respective agreement or license and to maintain some or all of the related technology as well as some or all aspects of any intellectual property controlled by such counterparty, we may not be able to do so in a timely manner, at an acceptable cost or at all, and it may lead to litigation, arbitration or similar proceedings that may result in us incurring significant legal expenses and jeopardize our ability to continue development of the related product candidate. A dispute regarding, or termination of, one of these agreements or licenses for any reason also could prevent us from completing a transaction to sell or out-license a product candidate for which we have decided to discontinue development.</w:t>
      </w:r>
    </w:p>
    <w:p>
      <w:pPr>
        <w:spacing w:after="0" w:line="1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We have relied on and we expect to continue to rely on third parties to conduct, supervise and monitor our clinical trials and some aspects of our research and preclinical testing, and if those third parties do not successfully carry out their contractual duties, comply with regulatory requirements, or otherwise perform in a satisfactory manner, we may not be able to obtain regulatory approval or commercialize product candidates, or such approval or commercialization may be delayed, and our business may be substantially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relied on and we expect to continue to rely on medical institutions, clinical investigators, contract laboratories and other third parties, such as contract research organizations (“CROs”), to conduct preclinical studies and clinical trials for product candidates. Nevertheless, we are responsible for ensuring that each of our studies and trials is conducted in accordance with the applicable protocol, legal and regulatory requirements and scientific standards, and our reliance on such third parties will not relieve us of our regulatory responsibilities. For example, we remain responsible for ensuring that each of our clinical trials is conducted in accordance with the general investigational plan and protocols for the trial. Moreover, the FDA requires us to comply with regulations, commonly referred to as GCPs, for conducting, monitoring, recording and reporting the results of clinical trials to assure that data and reported results are credible and accurate and that the rights, integrity and confidentiality of trial participants are protected.</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we have designed and intend to design future trials for product candidates either alone or with collaborators, third parties may conduct some parts of or all of the trials. As a result, many important aspects of our research and development programs, including their conduct and timing, will be outside of our direct control. Our reliance on third parties to conduct current and future studies and trials will also result in less direct control over the management of data developed through studies and trials than would be the case if we were relying entirely upon our own staff. Communicating with outside parties can also be challenging, potentially leading to mistakes and difficulties in coordinating activities. Such third parties may have staffing difficulties, fail to comply with contractual obligations, experience regulatory compliance issues, undergo changes in priorities, become financially distressed or form relationships with other entities, some of which may be our competitors.</w:t>
      </w:r>
    </w:p>
    <w:p>
      <w:pPr>
        <w:spacing w:after="0" w:line="13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We also face the risk of potential unauthorized disclosure or misappropriation of our intellectual property by CROs or other third parties, which may reduce our trade secret protection and allow our potential competitors to access and exploit our proprietary technology.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12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If we, our collaborators, our CROs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also are required to register certain ongoing clinical trials and post the results of such completed clinical trials on a government-sponsored database, within certain timeframes. Failure to do so can result in fines, adverse publicity and civil and criminal sanctions.</w:t>
      </w:r>
    </w:p>
    <w:p>
      <w:pPr>
        <w:spacing w:after="0" w:line="12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our CROs or other third parties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trials for a product candidate may be extended, delayed or terminated, and we or our collaborators may not be able to obtain regulatory approval for, or successfully commercialize, any product candidates. If we are required to repeat, extend the duration of or increase the size of any trials we conduct, it could significantly delay commercialization and require significantly greater expenditures.</w:t>
      </w:r>
    </w:p>
    <w:p>
      <w:pPr>
        <w:spacing w:after="0" w:line="1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Further, conducting clinical trials in foreign countries, which we are pursuing for certain of our product candidates, presents additional risks that may delay completion of our clinical trials. These risks include the failure of enrolled subjects in foreign countries to adhere to clinical protocols as a result of differences in healthcare services or cultural customs, failure to comply with privacy and related legal requirements, managing additional administrative burdens and costs associated with foreign regulatory schemes, managing cross-border operational activities, and political and economic risks relevant to such foreign countries.</w:t>
      </w:r>
    </w:p>
    <w:p>
      <w:pPr>
        <w:spacing w:after="0" w:line="132"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As a result of any of these factors, our financial results and the commercial prospects for the affected product candidate would be harmed, our costs could increase and our ability to generate revenues could be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sufficient quantities of raw materials and supplies, at acceptable prices and on a timely basis, it could harm our business.</w:t>
      </w:r>
    </w:p>
    <w:p>
      <w:pPr>
        <w:spacing w:after="0" w:line="17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We are dependent on third parties for the supply of various pharmaceutical and biological materials and the manufacture of product supplies that are necessary to produce our current and any future product candidates. The supply of these materials could be reduced or interrupted at any time. In such case, identifying and engaging an alternative supplier or manufacturer could result in delay, and we may not be able to find other acceptable suppliers or manufacturers on acceptable terms, or at all.</w:t>
      </w:r>
    </w:p>
    <w:p>
      <w:pPr>
        <w:spacing w:after="0" w:line="128"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Changing suppliers or manufacturers may involve substantial costs and is likely to result in a delay in our desired clinical and commercial timelines. If we change suppliers or manufacturers for commercial production, applicable regulatory agencies may require us to conduct additional studies or trials. If key suppliers or manufacturers are lost, or if the supply of the materials is diminished or discontinued, we or our collaborators may not be able to develop, manufacture and market the affected product candidate in a timely and competitive manner, or at all. If any product candidate receives approval, we will likely need to seek alternative sources of supply of raw materials or manufactured product supplies and there can be no assurance that we will be able to establish such relationships to provide such supplies on commercially reasonable terms or at acceptable quality levels, if at all. If we are unable to identify and procure additional sources of supply that fit our required needs, we could face substantial delays or incur additional costs in procuring such materials.</w:t>
      </w:r>
    </w:p>
    <w:p>
      <w:pPr>
        <w:spacing w:after="0" w:line="117"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do, and may further, rely on third parties for the manufacturing process of our current and any future product candidates, and failure by those parties to adequately perform their obligations could harm our business.</w:t>
      </w:r>
    </w:p>
    <w:p>
      <w:pPr>
        <w:spacing w:after="0" w:line="10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We do not currently own any facility that may be used as our clinical-scale manufacturing and processing facility and do rely, and expect that we will continue to rely, on outside vendors, including vendors outside the United States, for at least a portion, if not all, of the manufacturing process of our current and any future product candidates that we or our collaborators develop.</w:t>
      </w:r>
    </w:p>
    <w:p>
      <w:pPr>
        <w:spacing w:after="0" w:line="12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product candidates must be approved by the FDA or other foreign regulatory agencies pursuant to inspections conducted after we submit an application to the FDA or other foreign regulatory agencies. When we or our collaborators engage third parties for manufacturing services, we will not control the manufacturing process of, and will be completely dependent on, our contract manufacturing providers for compliance with cGMP requirements for manufacture of the product candidates.</w:t>
      </w:r>
    </w:p>
    <w:p>
      <w:pPr>
        <w:spacing w:after="0" w:line="12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We have not yet caused any product candidates to be manufactured or processed on a commercial scale and may not be able to do so. We will make changes as we work to optimize the manufacturing process, and we cannot be sure that even minor changes in the process will result in products that are safe and effective. If our contract manufacturers cannot successfully manufacture material that conforms to our specifications and the strict regulatory requirements of the FDA or other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w:t>
      </w:r>
    </w:p>
    <w:p>
      <w:pPr>
        <w:spacing w:after="0" w:line="116"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color w:val="auto"/>
        </w:rPr>
        <w:t>If the FDA or a comparable foreign regulatory authority does not approve these facilities for the manufacture of product candidates or if it withdraws any such approval in the future, we may need to find alternative manufacturing facilities, which would significantly impact our ability to develop, obtain regulatory approval for or market any of our or our collaborators’ potential products.</w:t>
      </w:r>
    </w:p>
    <w:p>
      <w:pPr>
        <w:spacing w:after="0" w:line="11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on commercially reasonable terms, we may have to alter our research, development and commercialization plans.</w:t>
      </w:r>
    </w:p>
    <w:p>
      <w:pPr>
        <w:spacing w:after="0" w:line="10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Our research and product development programs and the potential commercialization of our current and any future product candidates will require substantial additional cash to fund expenses, and we expect that we will continue to seek collaborative arrangements, including the potential out-licensing of some or all of our product candidates, for the development and potential commercialization of some or all of our current and any future product candidates or the development of ancillary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establishing relationships with appropriate collaborators. In addition, there continues to be consolidation among large pharmaceutical companies, which has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an assessment of the opportunities and risks of our product candidates, the design or results of studies or trials, the likelihood of approval, if necessary, by the U.S. Department of Agriculture, the FDA or similar regulatory authorities outside the United States, the potential market for the subject product candidate, the costs and complexities of manufacturing and delivering such product candidate to patients, the potential of competing products and industry and market conditions generally.</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 or others. Such collaborations may also impact our ability to control the nature, timing and cadence of developing and commercializing the product candidates subject to such collaborations. If we are unable to enter into additional collaboration agreements, we may have to curtail the research and development of the product candidate for which we are seeking to collaborate, reduce or delay research and development programs, delay potential commercialization timelines, reduce the scope of any sales or marketing activities or undertake research, development or commercialization activities at our own expense.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69"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approval process is lengthy and time-consuming, and we may experience significant delays in the clinical development and regulatory approval of our current and any future product candidates.</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drug products, including biologics and pharmaceuticals, are subject to extensive regulation by the FDA and other regulatory authorities in the United States. We expect the novel nature of our product candidates to create further challenges in obtaining regulatory approval. For example, the FDA has limited experience with commercial development of CLDN6, MSLN and Nectin-4 therapies for cancer. The FDA may also require a panel of experts, referred to as an Advisory Committee, to deliberate on the adequacy of the safety and efficacy data to support licensure. The novel mechanism of action and immunotherapy characteristics of our TCE bsAb product candidates may present unique clinical safety risks, which could delay or prevent regulatory approval. The opinion of the Advisory Committee, although not binding, may have a significant impact on our ability to obtain licensure of product candidates based on the completed clinical trials, as the FDA often makes decisions consistent with the Advisory Committee’s recommendations. Accordingly, the regulatory approval pathway for our product candidates may be uncertain, complex, expensive and lengthy, and approval may not be obtained.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experience delays in completing planned clinical trials for a variety of reasons, including delays related to:</w:t>
      </w:r>
    </w:p>
    <w:p>
      <w:pPr>
        <w:spacing w:after="0" w:line="169" w:lineRule="exact"/>
        <w:rPr>
          <w:sz w:val="20"/>
          <w:szCs w:val="20"/>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 to begin a trial, if applicable;</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trials;</w:t>
      </w:r>
    </w:p>
    <w:p>
      <w:pPr>
        <w:spacing w:after="0" w:line="169" w:lineRule="exact"/>
        <w:rPr>
          <w:rFonts w:ascii="Times New Roman" w:cs="Times New Roman" w:eastAsia="Times New Roman" w:hAnsi="Times New Roman"/>
          <w:sz w:val="18"/>
          <w:szCs w:val="18"/>
          <w:color w:val="auto"/>
        </w:rPr>
      </w:pPr>
    </w:p>
    <w:p>
      <w:pPr>
        <w:ind w:left="660" w:right="160" w:hanging="330"/>
        <w:spacing w:after="0" w:line="28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at each clinical trial site by an independent IRB;</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w:t>
      </w:r>
    </w:p>
    <w:p>
      <w:pPr>
        <w:spacing w:after="0" w:line="169" w:lineRule="exact"/>
        <w:rPr>
          <w:rFonts w:ascii="Times New Roman" w:cs="Times New Roman" w:eastAsia="Times New Roman" w:hAnsi="Times New Roman"/>
          <w:sz w:val="18"/>
          <w:szCs w:val="18"/>
          <w:color w:val="auto"/>
        </w:rPr>
      </w:pPr>
    </w:p>
    <w:p>
      <w:pPr>
        <w:ind w:left="660" w:right="620" w:hanging="330"/>
        <w:spacing w:after="0" w:line="28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patient safety concerns that arise during the course of a trial;</w:t>
      </w:r>
    </w:p>
    <w:p>
      <w:pPr>
        <w:spacing w:after="0" w:line="169" w:lineRule="exact"/>
        <w:rPr>
          <w:rFonts w:ascii="Times New Roman" w:cs="Times New Roman" w:eastAsia="Times New Roman" w:hAnsi="Times New Roman"/>
          <w:sz w:val="18"/>
          <w:szCs w:val="18"/>
          <w:color w:val="auto"/>
        </w:rPr>
      </w:pPr>
    </w:p>
    <w:p>
      <w:pPr>
        <w:ind w:left="660" w:right="240" w:hanging="330"/>
        <w:spacing w:after="0" w:line="28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immune-mediated toxicities associated with our TCE bsAb produce candidates may require trial protocol modifications, dose interruptions or reductions, or could delay or prevent the completion of clinical trials;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 or</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qualified materials under cGMPs and applying them on a patient by patient basis for use in clinical trials.</w:t>
      </w:r>
    </w:p>
    <w:p>
      <w:pPr>
        <w:spacing w:after="0" w:line="16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could also encounter delays if physicians encounter unresolved ethical issues associated with enrolling patients in clinical trials of a product candidate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The FDA’s review of our data of our clinical trials may, depending on the data, also result in the delay, suspension or termination of one or more clinical trials, which would also delay or prevent the initiation of our other planned clinical trials. If we experience termination of, or delays in the completion of, any clinical trial of a product candidate, the commercial prospects for such product candidate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 In addition, because the product candidates utilize a TCE bsAb mechanism of action, clinical development may be particularly susceptible to immune-mediated adverse events, which may required protocol modifications, dose interruptions or reductions, enhanced patient monitoring, or hospitalization requirements, and could delay, suspend or prevent the completion of clinical trials.</w:t>
      </w:r>
    </w:p>
    <w:p>
      <w:pPr>
        <w:spacing w:after="0" w:line="140"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ultimately lead to the denial of regulatory approval of our current and any future product candidates.</w:t>
      </w:r>
    </w:p>
    <w:p>
      <w:pPr>
        <w:spacing w:after="0" w:line="10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expect that CTIM-76, CT-95 and CT-202 will be regulated as biological products, or biologics, and therefore they may be subject to competition from biosimilar applicants.</w:t>
      </w:r>
    </w:p>
    <w:p>
      <w:pPr>
        <w:spacing w:after="0" w:line="10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was enacted as part of PPACA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Biologics Price Competition and Innovation Act,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Regulatory decisions implementing the Biologics Price Competition and Innovation Act may have a material adverse effect on the future commercial prospects for our biological products.</w:t>
      </w:r>
    </w:p>
    <w:p>
      <w:pPr>
        <w:spacing w:after="0" w:line="13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We believe that CTIM-76, CT-95 and CT-202, if approved in the United States as biological products under BLAs, should qualify for the 12-year period of exclusivity. However, there is a risk that this exclusivity could be shortened due to congressional action or otherwise.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may disagree with our regulatory plan and we may fail to obtain regulatory approval of any product candidate.</w:t>
      </w:r>
    </w:p>
    <w:p>
      <w:pPr>
        <w:spacing w:after="0" w:line="17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and when our clinical trials for our current and any future product candidates are completed and, assuming positive data, we expect to advance to potential registrational trials. The current general approach for FDA approval of a new biologic or drug is for the sponsor to provide dispositive data from at least one well-controlled, Phase 3 clinical study of the relevant biologic or drug in the relevant patient population, although the FDA has historically required, and many foreign regulatory authorities still require, dispositive data from two such studies. Phase 3 clinical studies typically involve hundreds of patients, have significant costs and take years to complete. If the results from our clinical trials are sufficiently compelling, we intend to discuss with the FDA submission of a BLA for the relevant product candidate. However, we do not have any agreement or guidance from the FDA that our regulatory development plans will be sufficient for submission of a BLA for the relevant product candidate. For example, the FDA may require that we conduct a comparative trial against an approved therapy, which would significantly delay our development timelines and require substantially more resources. As well, in 2022 the Oncology Center of Excellence (OCE) of the FDA implemented Project Optimus to reform the dose optimization and dose selection paradigm in oncology drug development, which has impacted and could continue to impact our current and future clinical trials and significantly delay our development timelines and require substantially more resources. In addition, because our product candidates utilize a TCE bsAb mechanism of action, clinical development may be subject to risks associated with immune-mediated toxicities, which may require protocol modifications, dose interruptions or reductions, enhanced patient monitoring, or hospitalization and could delay or prevent regulatory approval.</w:t>
      </w:r>
    </w:p>
    <w:p>
      <w:pPr>
        <w:spacing w:after="0" w:line="14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FDA may grant accelerated approval for a product candidate and, as a condition for accelerated approval, the FDA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We believe an accelerated approval strategy may be warranted given the limited alternatives for patients that our product candidates target, but the FDA may ultimately require a Phase 3 clinical trial prior to approval. In addition, the standard of care may change with the use of currently approved products or the approval of new products in the same indications that we are studying. This may result in the FDA or other regulatory agencies requesting additional studies to show that our product candidates are superior to the new products.</w:t>
      </w:r>
    </w:p>
    <w:p>
      <w:pPr>
        <w:spacing w:after="0" w:line="133"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Our clinical trial results may also not support approval. In addition, our current and any future product candidates could fail to receive regulatory approval for many reasons, including the following:</w:t>
      </w:r>
    </w:p>
    <w:p>
      <w:pPr>
        <w:spacing w:after="0" w:line="108" w:lineRule="exact"/>
        <w:rPr>
          <w:sz w:val="20"/>
          <w:szCs w:val="20"/>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9" w:lineRule="exact"/>
        <w:rPr>
          <w:rFonts w:ascii="Times New Roman" w:cs="Times New Roman" w:eastAsia="Times New Roman" w:hAnsi="Times New Roman"/>
          <w:sz w:val="18"/>
          <w:szCs w:val="18"/>
          <w:color w:val="auto"/>
        </w:rPr>
      </w:pPr>
    </w:p>
    <w:p>
      <w:pPr>
        <w:ind w:left="660" w:right="60" w:hanging="330"/>
        <w:spacing w:after="0" w:line="28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current or any future product candidates are safe and effective for any of their proposed indications;</w:t>
      </w:r>
    </w:p>
    <w:p>
      <w:pPr>
        <w:spacing w:after="0" w:line="108" w:lineRule="exact"/>
        <w:rPr>
          <w:rFonts w:ascii="Times New Roman" w:cs="Times New Roman" w:eastAsia="Times New Roman" w:hAnsi="Times New Roman"/>
          <w:sz w:val="18"/>
          <w:szCs w:val="18"/>
          <w:color w:val="auto"/>
        </w:rPr>
      </w:pPr>
    </w:p>
    <w:p>
      <w:pPr>
        <w:ind w:left="660" w:right="140" w:hanging="330"/>
        <w:spacing w:after="0" w:line="28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 including due to the heterogeneity of patient populations;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current and any future product candidates’ clinical and other benefits outweigh their safety risks;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69" w:lineRule="exact"/>
        <w:rPr>
          <w:rFonts w:ascii="Times New Roman" w:cs="Times New Roman" w:eastAsia="Times New Roman" w:hAnsi="Times New Roman"/>
          <w:sz w:val="18"/>
          <w:szCs w:val="18"/>
          <w:color w:val="auto"/>
        </w:rPr>
      </w:pPr>
    </w:p>
    <w:p>
      <w:pPr>
        <w:ind w:left="660" w:right="520" w:hanging="330"/>
        <w:spacing w:after="0" w:line="28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current and any future product candidates may not be sufficient to the satisfaction of the FDA or comparable foreign regulatory authorities to support the submission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BLA or other comparable submission in foreign jurisdictions or to obtain regulatory approval in the United States or elsewhere;</w:t>
      </w:r>
    </w:p>
    <w:p>
      <w:pPr>
        <w:spacing w:after="0" w:line="169" w:lineRule="exact"/>
        <w:rPr>
          <w:sz w:val="20"/>
          <w:szCs w:val="20"/>
          <w:color w:val="auto"/>
        </w:rPr>
      </w:pPr>
    </w:p>
    <w:p>
      <w:pPr>
        <w:ind w:left="660" w:right="280" w:hanging="330"/>
        <w:spacing w:after="0" w:line="28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will review our manufacturing process and inspect our commercial manufacturing facility and may not approve our manufacturing process or facility; and</w:t>
      </w:r>
    </w:p>
    <w:p>
      <w:pPr>
        <w:spacing w:after="0" w:line="108" w:lineRule="exact"/>
        <w:rPr>
          <w:rFonts w:ascii="Times New Roman" w:cs="Times New Roman" w:eastAsia="Times New Roman" w:hAnsi="Times New Roman"/>
          <w:sz w:val="18"/>
          <w:szCs w:val="18"/>
          <w:color w:val="auto"/>
        </w:rPr>
      </w:pPr>
    </w:p>
    <w:p>
      <w:pPr>
        <w:ind w:left="660" w:right="240" w:hanging="330"/>
        <w:spacing w:after="0" w:line="28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04"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a product candidate in one jurisdiction does not mean that we will be successful in obtaining regulatory approval of such product candidate in other jurisdictions.</w:t>
      </w:r>
    </w:p>
    <w:p>
      <w:pPr>
        <w:spacing w:after="0" w:line="10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Obtaining and maintaining regulatory approval of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3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current and any future product candidates will be harmed.</w:t>
      </w:r>
    </w:p>
    <w:p>
      <w:pPr>
        <w:spacing w:after="0" w:line="12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of a product candidate, the product may not gain market acceptance among physicians, patients, hospitals, cancer treatment centers and others in the medical community.</w:t>
      </w:r>
    </w:p>
    <w:p>
      <w:pPr>
        <w:spacing w:after="0" w:line="10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The use of T cell engaging bispecific antibodies as potential cancer treatments is a recent development and may not become broadly accepted by physicians, patients, hospitals, cancer treatment centers and others in the medical community and we may not be able to convince them to use a product candidate for many reasons. Additional factors will influence whether a product candidate is accepted in the market, including:</w:t>
      </w:r>
    </w:p>
    <w:p>
      <w:pPr>
        <w:spacing w:after="0" w:line="123" w:lineRule="exact"/>
        <w:rPr>
          <w:sz w:val="20"/>
          <w:szCs w:val="20"/>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cancer treatment centers and patients considering a product candidate as safe and effective treatments;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a product candidate over alternative treatments;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 or other regulatory authorities;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a product candidate as well as competitive products;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and government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400" w:hanging="330"/>
        <w:spacing w:after="0" w:line="28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and adequate reimbursement by third-party payors and government authorities;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16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If a product candidate is approved but fails to achieve market acceptance among physicians, patients, hospitals, cancer treatment centers or others in the medical community, we will not be able to generate significant revenue. 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24"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a product candidate, which could make it difficult for us to sell such product candidate, if approved, profitably.</w:t>
      </w:r>
    </w:p>
    <w:p>
      <w:pPr>
        <w:spacing w:after="0" w:line="105"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color w:val="auto"/>
        </w:rPr>
        <w:t>Successful sales of a product candidate,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12"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10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108" w:lineRule="exact"/>
        <w:rPr>
          <w:sz w:val="20"/>
          <w:szCs w:val="20"/>
          <w:color w:val="auto"/>
        </w:rPr>
      </w:pPr>
    </w:p>
    <w:p>
      <w:pPr>
        <w:ind w:left="640" w:hanging="310"/>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Obtaining coverage and reimbursement of a product from a government or other third-party payor is a time-consuming and costly process that could require us to provide to the payor supporting scientific, clinical and cost-effectiveness data for the use of our products. Even if we obtain coverage for a given product, if the resulting reimbursement rates are insufficient, hospitals may not approve our product for use in their facility or third-party payors may require co-payments that patients find unacceptably high. Patients are unlikely to use a product candidate unless coverage is provided and reimbursement is adequate to cover a significant portion of the cost of that product candidate. Separate reimbursement for the product itself may or may not be available. Instead, the hospital or administering physician may be reimbursed only for providing the treatment or procedure in which our product is used. Further, from time to time, CMS revises the reimbursement systems used to reimburse health care providers, including the Medicare Physician Fee Schedule and Outpatient Prospective Payment System, which may result in reduced Medicare payments. In some cases, private third-party payers rely on all or portions of Medicare payment systems to determine payment rates. Changes to government healthcare programs that reduce payments under these programs may negatively impact payments from private third-party payers, and reduce the willingness of physicians to use a product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2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intend to seek approval to market our current and any future product candidates in both the United States and in selected foreign jurisdictions. If we obtain approval in one or more foreign jurisdictions for a product candidate, we will be subject to rules and regulations in those jurisdictions. In some foreign countries, particularly those in Europe, the pricing of drugs and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3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2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ongoing regulatory obligations and continued regulatory review, which may result in significant additional expense, and we may be subject to penalties if we fail to comply with regulatory requirements or experience unanticipated problems with a product candidate.</w:t>
      </w:r>
    </w:p>
    <w:p>
      <w:pPr>
        <w:spacing w:after="0" w:line="10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Any regulatory approvals that we receive for a product candidate will require surveillance to monitor the safety and efficacy of the product candidate. The FDA may also require a REMS in order to approve a product candidate,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reporting, storage, advertising, promotion, import, export and recordkeeping for that product candidate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As such, we and our contract manufacturers will be subject to continual review and inspections to assess compliance with cGMP and adherence to commitments made in any BLA, other marketing applications and previous responses to inspectional observations. Accordingly, we and others with whom we work must continue to expend time, money and effort in all areas of regulatory compliance, including manufacturing, production and quality control. In addition, the FDA could require us to conduct another study to obtain additional safety or biomarker information. Further, we will be required to comply with FDA promotion and advertising rules,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and social media. Later discovery of previously unknown problems with a product candidate, including adverse events of unanticipated severity or frequency, or with our third-party suppliers or manufacturing processes, or failure to comply with regulatory requirements, may result in revisions to the approved labeling to add new safety information; imposition of post-market studies or clinical studies to assess new safety risks; or imposition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distribution restrictions or other restrictions under a risk evaluation and mitigation strategy program. Other potential consequences include, among other things:</w:t>
      </w:r>
    </w:p>
    <w:p>
      <w:pPr>
        <w:spacing w:after="0" w:line="108" w:lineRule="exact"/>
        <w:rPr>
          <w:sz w:val="20"/>
          <w:szCs w:val="20"/>
          <w:color w:val="auto"/>
        </w:rPr>
      </w:pPr>
    </w:p>
    <w:p>
      <w:pPr>
        <w:ind w:left="660" w:right="480" w:hanging="330"/>
        <w:spacing w:after="0" w:line="28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candidate, withdrawal of the product from the market or voluntary or mandatory product recalls;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69" w:lineRule="exact"/>
        <w:rPr>
          <w:rFonts w:ascii="Times New Roman" w:cs="Times New Roman" w:eastAsia="Times New Roman" w:hAnsi="Times New Roman"/>
          <w:sz w:val="18"/>
          <w:szCs w:val="18"/>
          <w:color w:val="auto"/>
        </w:rPr>
      </w:pPr>
    </w:p>
    <w:p>
      <w:pPr>
        <w:ind w:left="660" w:right="320" w:hanging="330"/>
        <w:spacing w:after="0" w:line="28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a product candidate; and</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6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current and any future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advancement of healthcare reform may negatively impact our ability to sell our current and any future product candidates, if approved, profitably.</w:t>
      </w:r>
    </w:p>
    <w:p>
      <w:pPr>
        <w:spacing w:after="0" w:line="17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PPACA was enacted, which substantially changed the way healthcare is financed by both governmental and private payors. Among the provisions of PPACA of importance to the pharmaceutical and biotechnology industries, which includes biologics, are the following:</w:t>
      </w:r>
    </w:p>
    <w:p>
      <w:pPr>
        <w:spacing w:after="0" w:line="132" w:lineRule="exact"/>
        <w:rPr>
          <w:sz w:val="20"/>
          <w:szCs w:val="20"/>
          <w:color w:val="auto"/>
        </w:rPr>
      </w:pPr>
    </w:p>
    <w:p>
      <w:pPr>
        <w:ind w:left="660" w:right="360" w:hanging="330"/>
        <w:spacing w:after="0" w:line="28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and importers of certain biologics with annual sales of more than $5 million made to or covered by specified federal healthcare programs are required to pay an annual, nondeductible fee according to their market share of all such sales;</w:t>
      </w:r>
    </w:p>
    <w:p>
      <w:pPr>
        <w:spacing w:after="0" w:line="108" w:lineRule="exact"/>
        <w:rPr>
          <w:rFonts w:ascii="Times New Roman" w:cs="Times New Roman" w:eastAsia="Times New Roman" w:hAnsi="Times New Roman"/>
          <w:sz w:val="18"/>
          <w:szCs w:val="18"/>
          <w:color w:val="auto"/>
        </w:rPr>
      </w:pPr>
    </w:p>
    <w:p>
      <w:pPr>
        <w:ind w:left="660" w:right="360" w:hanging="330"/>
        <w:spacing w:after="0" w:line="264"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of the average manufacturer price for most branded drugs, biologics, and biosimilars and to 13.0% for generic drugs, and a cap of the total rebate amount for innovator drugs at 100% of the Average Manufacturer Price;</w:t>
      </w:r>
    </w:p>
    <w:p>
      <w:pPr>
        <w:spacing w:after="0" w:line="123" w:lineRule="exact"/>
        <w:rPr>
          <w:rFonts w:ascii="Times New Roman" w:cs="Times New Roman" w:eastAsia="Times New Roman" w:hAnsi="Times New Roman"/>
          <w:sz w:val="18"/>
          <w:szCs w:val="18"/>
          <w:color w:val="auto"/>
        </w:rPr>
      </w:pPr>
    </w:p>
    <w:p>
      <w:pPr>
        <w:ind w:left="660" w:right="520" w:hanging="330"/>
        <w:spacing w:after="0" w:line="28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certain drugs and biologics, including our product candidates, that are inhaled, infused, instilled, implanted, or injected;</w:t>
      </w:r>
    </w:p>
    <w:p>
      <w:pPr>
        <w:spacing w:after="0" w:line="108" w:lineRule="exact"/>
        <w:rPr>
          <w:rFonts w:ascii="Times New Roman" w:cs="Times New Roman" w:eastAsia="Times New Roman" w:hAnsi="Times New Roman"/>
          <w:sz w:val="18"/>
          <w:szCs w:val="18"/>
          <w:color w:val="auto"/>
        </w:rPr>
      </w:pPr>
    </w:p>
    <w:p>
      <w:pPr>
        <w:ind w:left="660" w:right="520" w:hanging="330"/>
        <w:spacing w:after="0" w:line="28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108" w:lineRule="exact"/>
        <w:rPr>
          <w:rFonts w:ascii="Times New Roman" w:cs="Times New Roman" w:eastAsia="Times New Roman" w:hAnsi="Times New Roman"/>
          <w:sz w:val="18"/>
          <w:szCs w:val="18"/>
          <w:color w:val="auto"/>
        </w:rPr>
      </w:pPr>
    </w:p>
    <w:p>
      <w:pPr>
        <w:ind w:left="660" w:hanging="330"/>
        <w:spacing w:after="0" w:line="264"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23"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program, commonly referred to as the “340B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240" w:hanging="330"/>
        <w:spacing w:after="0" w:line="28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drug samples that manufacturers and distributors provide to physicians, also known as the “Physician Payments Sunshine Act;”</w:t>
      </w:r>
    </w:p>
    <w:p>
      <w:pPr>
        <w:spacing w:after="0" w:line="108" w:lineRule="exact"/>
        <w:rPr>
          <w:rFonts w:ascii="Times New Roman" w:cs="Times New Roman" w:eastAsia="Times New Roman" w:hAnsi="Times New Roman"/>
          <w:sz w:val="18"/>
          <w:szCs w:val="18"/>
          <w:color w:val="auto"/>
        </w:rPr>
      </w:pPr>
    </w:p>
    <w:p>
      <w:pPr>
        <w:ind w:left="660" w:right="300" w:hanging="330"/>
        <w:spacing w:after="0" w:line="28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Innovation at CMS to test innovative payment and service delivery models to lower Medicare and Medicaid spending; and</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licensure framework for follow-on biologic products.</w:t>
      </w:r>
    </w:p>
    <w:p>
      <w:pPr>
        <w:spacing w:after="0" w:line="16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PPACA, and there may be additional challenges and amendments to PPACA in the future. For example, in 2017, Congress enacted the Tax Cuts and Jobs Act, which repealed the tax-based shared responsibility payment imposed by PPACA on certain individuals who fail to maintain qualifying health coverage that is commonly referred to as the “individual mandate.”</w:t>
      </w:r>
    </w:p>
    <w:p>
      <w:pPr>
        <w:spacing w:after="0" w:line="128"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PPACA was enacted which, among other things, have reduced Medicare payments to several types of providers, including hospitals and cancer treatment centers.</w:t>
      </w:r>
    </w:p>
    <w:p>
      <w:pPr>
        <w:spacing w:after="0" w:line="10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For example, on August 16, 2022, the IRA, was passed, which among other things, allows for CMS to negotiate prices for certain single-source drugs and biologics reimbursed under Medicare Part B and Part D, beginning with 10 high-cost drugs paid for by Medicare Part D in 2026, followed by 15 Part D drugs in 2027, 15 Part B or Part D drugs in 2028, and 20 Part B or Part D drugs in 2029 and beyond.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caps Medicare beneficiaries’ annual out-of-pocket drug expenses at $2,000. The effect of the IRA on our business and the healthcare industry in general is not yet known.</w:t>
      </w:r>
    </w:p>
    <w:p>
      <w:pPr>
        <w:spacing w:after="0" w:line="132"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These new laws or any other similar laws introduced in the future, as well as regulatory actions that may be taken by CMS, may result in additional reductions in Medicare and other healthcare funding, which could negatively affect our customers and accordingly, our financial operations. Moreover, payment methodologies may be subject to changes in healthcare legislation and regulatory initiatives. Additionally, individual states in the United States have passed legislation and implemented regulations designed to control pharmaceutical and biological product pricing and costs. Similar developments have occurred outside of the United States, including in the European Union where healthcare budgetary constraints have resulted in restrictions on the pricing and reimbursement of medicines by relevant health service providers.</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To obtain reimbursement or pricing approval in some European Union member states, we may be required to conduct studies that compare the cost-effectiveness of a product candidate to other therapies that are considered the local standard of care. We cannot predict the likelihood, nature, or extent of government regulation that may arise from future legislation or administrative action in the United States or any other jurisdiction. If we or any third parties we may engage are slow or unable to adapt to changes in existing requirements or the adoption of new requirements or policies, or if we or such third parties are not able to maintain regulatory compliance, a product candidate may lose any regulatory approval that may have been obtained and we may not achieve or sustain profitability.</w:t>
      </w:r>
    </w:p>
    <w:p>
      <w:pPr>
        <w:spacing w:after="0" w:line="128"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Changes to United States federal regulatory agencies may cause disruptions and delays in government approval processes and regulations relating to our product candidates.</w:t>
      </w:r>
    </w:p>
    <w:p>
      <w:pPr>
        <w:spacing w:after="0" w:line="10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On January 20, 2025, President Trump signed an executive order creating an advisory commission, the Department of Government Efficiency, tasked with eliminating regulations, cutting expenditures, and restructuring federal agencies. Any future government proposals to reduce or eliminate budgetary deficits may include reduced allocations to the FDA and other related U.S. government agencies. These budgetary pressures may result in a reduced ability by the FDA and others to perform their respective roles.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Robert F. Kennedy Jr., the Secretary of the U.S. Department of Health and Human Services ("HHS"), which oversees the FDA, has previously stated his intent to reform, downsize or restructure these agencies. For example, HHS terminated 10,000 employees in 2025, and the FDA has released a plan to phase out animal testing requirements in preclinical safety studies. If we are slow or unable to adapt to changes in existing requirements or the adoption of new requirements or policies, or if we are not able to maintain regulatory compliance, our current or any future product candidates may not achieve regulatory approval. Even if we are successful in achieving regulatory approval for one of more of our product candidates, such approval could be significantly delayed by changes at the FDA.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69"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Patents and patent applications involve highly complex legal and factual questions, which, if determined adversely to us, could negatively impact our business position.</w:t>
      </w:r>
    </w:p>
    <w:p>
      <w:pPr>
        <w:spacing w:after="0" w:line="1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patent positions of biopharmaceutical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United States Patent and Trademark Office (the “USPTO”) and its foreign counterparts are sometimes uncertain and could change in the future.</w:t>
      </w:r>
    </w:p>
    <w:p>
      <w:pPr>
        <w:spacing w:after="0" w:line="132"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8"/>
          <w:szCs w:val="18"/>
          <w:color w:val="auto"/>
        </w:rPr>
        <w:t>Consequently, the issuance and scope of patents cannot be predicted with certainty. Patents, if issued, may be challenged, invalidated or designed around. U.S. patents and patent applications may also be subject to interference or derivation proceedings, and U.S. patents may be subject to reexamination, post-grant review and/or inter partes review proceedings in the USPTO.</w:t>
      </w:r>
    </w:p>
    <w:p>
      <w:pPr>
        <w:spacing w:after="0" w:line="12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inter partes review and opposition proceedings may be costly. Accordingly, rights under any issued patents may not provide us with sufficient protection against competitive products or processes.</w:t>
      </w:r>
    </w:p>
    <w:p>
      <w:pPr>
        <w:spacing w:after="0" w:line="12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Furthermore, even if not challenged, our patents and patent applications may not adequately protect our technology and product candidates or products that we develop alone or with collaborators or prevent others from designing their products to avoid being covered by our claims. If the breadth or strength of protection provided by the patents and patent applications that we hold with respect to our product candidates or potential products is threatened, it could dissuade companies from collaborating with us to develop, and could threaten our or their ability to successfully commercialize, such product candidates or potential products.</w:t>
      </w:r>
    </w:p>
    <w:p>
      <w:pPr>
        <w:spacing w:after="0" w:line="13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In addition, changes in, or different interpretations of, patent laws in the United States and other countries may permit others to use our discoveries or to develop and commercialize our technology and product candidates or products without providing any compensation to us, or may limit the scope of patent protection that we are able to obtain. The laws of some countries do not protect intellectual property rights to the same extent as U.S. laws, and those countries may lack adequate rules and procedures for defending our intellectual property rights.</w:t>
      </w:r>
    </w:p>
    <w:p>
      <w:pPr>
        <w:spacing w:after="0" w:line="12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rely on our, and our licensors rely on their, outside counsel and employ an outside firm to pay these fees due to USPTO and non-U.S. patent agencies. The USPTO and various non-U.S. governmental patent agencies require compliance with a number of procedural, documentary, fee payment and other similar provisions during the patent application process. Although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which would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the patent applications we hold or have in-licensed with respect to our current and future research and development programs and product candidates fail to issue, if their validity, breadth or strength of protection is threatened, or if they fail to provide meaningful exclusivity for our technology or any products and product candidates that we or our collaborators develop, it could dissuade companies from collaborating with us to develop product candidates, encourage competitors to develop competing products or technologies and threaten our or our collaborators’ ability to commercialize our current and any future product candidates. Any such outcome could have a material adverse effect on our business.</w:t>
      </w:r>
    </w:p>
    <w:p>
      <w:pPr>
        <w:spacing w:after="0" w:line="12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our current and any future product candidates, prohibit our use of proprietary technology or sale of potential products or put our patents and other proprietary rights at risk.</w:t>
      </w:r>
    </w:p>
    <w:p>
      <w:pPr>
        <w:spacing w:after="0" w:line="12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upon our ability to develop, manufacture, market and sell product candidates without alleged or actual infringement, misappropriation or other violation of the patents and proprietary rights of third parties. Litigation relating to infringement or misappropriation of patent and other intellectual property rights in the pharmaceutical and biotechnology field is common, including patent infringement lawsuits, and such interference, derivation, reexamination, post-grant review, inter partes review and opposition proceedings before the USPTO and corresponding international patent offices.</w:t>
      </w:r>
    </w:p>
    <w:p>
      <w:pPr>
        <w:spacing w:after="0" w:line="13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w:t>
      </w:r>
    </w:p>
    <w:p>
      <w:pPr>
        <w:spacing w:after="0" w:line="1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Numerous United States, EU and other internationally issued patents and pending patent applications, which are owned by third parties, exist in the fields in which we and our collaborators are developing product candidates. For example, we are aware of issued patents in the United States and certain foreign jurisdictions expiring in January 2034 and March 2042 that potentially cover certain parts of the intellectual property included in CTIM-76. As the biotechnology and pharmaceutical industries expand and more patents are issued, the risk increases that our current and any future product candidates may be subject to claims of infringement of the intellectual property rights of third parties.</w:t>
      </w:r>
    </w:p>
    <w:p>
      <w:pPr>
        <w:spacing w:after="0" w:line="13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color w:val="auto"/>
        </w:rPr>
        <w:t>As a result of any patent infringement claims, or in order to avoid any potential infringement claims, we may choose to seek, or be required to seek, a license from a third party, which may require payment of substantial royalties or fees, or require us to grant a cross-license under our intellectual property rights.</w:t>
      </w:r>
    </w:p>
    <w:p>
      <w:pPr>
        <w:spacing w:after="0" w:line="123"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7"/>
          <w:szCs w:val="17"/>
          <w:color w:val="auto"/>
        </w:rPr>
        <w:t>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or our collaborators could be prevented from commercializing one or more product candidates, forced to modify such product candidates, forced to cease some aspect of our business operations, or be required to pay substantial damages to a third party, which could harm our business significantly.</w:t>
      </w:r>
    </w:p>
    <w:p>
      <w:pPr>
        <w:spacing w:after="0" w:line="112"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8"/>
          <w:szCs w:val="18"/>
          <w:color w:val="auto"/>
        </w:rPr>
        <w:t>We or our collaborators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128"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18"/>
          <w:szCs w:val="18"/>
          <w:color w:val="auto"/>
        </w:rPr>
        <w:t>Further, if a patent infringement suit is brought against us, our collaborators or our third-party service providers, our development, manufacturing or sales activities relating to the product or product candidate that is the subject of the suit may be delayed or terminated. In addition, defending such claims may cause us to incur substantial expenses and, if successful, could cause us to pay substantial damages if we are found to be infringing a third-party’s patent rights. We may not have sufficient resources to bring these actions to a successful conclusion.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These damages potentially include treble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w:t>
      </w:r>
    </w:p>
    <w:p>
      <w:pPr>
        <w:spacing w:after="0" w:line="1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or our collaborators’ ability to further develop or commercialize the applicable product candidate unless we obtain a license under the applicable patents, or until such patents expire or are finally determined to be invalid or unenforceable.</w:t>
      </w:r>
    </w:p>
    <w:p>
      <w:pPr>
        <w:spacing w:after="0" w:line="13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Similarly, if any third-party patents were held by a court of competent jurisdiction to cover aspects of our technologies, compositions, formulations, or methods of treatment, prevention or use, the holders of any such patents may be able to prohibit our use of those technologies, compositions, formulations, methods of treatment, prevention or use or other technologies, effectively blocking our or our collaborators’ ability to develop and commercialize the applicable product candidate until such patent expires or is finally determined to be invalid or unenforceable or unless we or our collaborators obtain a license.</w:t>
      </w:r>
    </w:p>
    <w:p>
      <w:pPr>
        <w:spacing w:after="0" w:line="1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In the event of infringement or unauthorized use, we may file one or more infringement lawsuits, which can be expensive and time-consuming. An adverse result in any such litigation proceedings could put one or more of our patents at risk of being invalidated, being found to be unenforceable, and/or being interpreted narrowly and could put our patent applications at risk of not issuing and/or could impact the validity or enforceability positions of our other patents.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32"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w:t>
      </w:r>
    </w:p>
    <w:p>
      <w:pPr>
        <w:spacing w:after="0" w:line="128"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Any uncertainties resulting from the initiation and continuation of any litigation could have a material adverse effect on our ability to raise additional funds or otherwise have a material adverse effect on our business, results of operation, financial condition or cash flows.</w:t>
      </w:r>
    </w:p>
    <w:p>
      <w:pPr>
        <w:spacing w:after="0" w:line="104"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effectively in our markets may decline if we do not adequately protect our proprietary rights, and our proprietary rights do not necessarily address all potential threats to our competitive advantages.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rely on patent protection as well as trademark, trade secret and other intellectual property rights protection and contractual restrictions to protect CTIM-76, CT-95, CT-202 and any future product candidates. Our commercial success depends upon obtaining and maintaining proprietary rights to our intellectual property estate, including rights relating to CTIM-76, CT-95, CT-202 and any future product candidates, as well as successfully defending these rights against third-party challenges and successfully enforcing these rights to prevent third-party infringement. We will only be able to protect CTIM-76, CT-95, CT-202 and any future product candidates from unauthorized use by third parties to the extent that valid and enforceable patents or effectively protected trade secrets cover them.</w:t>
      </w:r>
    </w:p>
    <w:p>
      <w:pPr>
        <w:spacing w:after="0" w:line="132"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Our ability to obtain and maintain patent protection for CTIM-76, CT-95, CT-202 and any future product candidates is uncertain due to a number of factors, including the following factors:</w:t>
      </w:r>
    </w:p>
    <w:p>
      <w:pPr>
        <w:spacing w:after="0" w:line="108" w:lineRule="exact"/>
        <w:rPr>
          <w:sz w:val="20"/>
          <w:szCs w:val="20"/>
          <w:color w:val="auto"/>
        </w:rPr>
      </w:pPr>
    </w:p>
    <w:p>
      <w:pPr>
        <w:ind w:left="640" w:hanging="310"/>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invent the technology covered by our pending patent applications or issued patents;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820" w:hanging="330"/>
        <w:spacing w:after="0" w:line="28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the first to file patent applications covering product candidates, including their compositions or methods of use, as patent applications in the United States and most other countries are confidential for a period of time after filing;</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identify prior art or other bases upon which to challenge and ultimately invalidate our patents or otherwise render them unenforceable;</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compositions and methods may not be patentable;</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disclosures in patent applications may not be sufficient to meet the statutory requirements for patentability;</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of our pending patent applications may not result in issued patents;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identical, similar or alternative technologies, products or compositions, or methods of use thereof;</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design around our patent claims to produce competitive technologies or products that fall outside of the scope of our patents;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identify patentable aspects of our research and development output before it is too late to obtain patent protection;</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seek or obtain patent protection in countries and jurisdictions that may eventually provide us a significant business opportunity;</w:t>
      </w:r>
    </w:p>
    <w:p>
      <w:pPr>
        <w:spacing w:after="0" w:line="169" w:lineRule="exact"/>
        <w:rPr>
          <w:rFonts w:ascii="Times New Roman" w:cs="Times New Roman" w:eastAsia="Times New Roman" w:hAnsi="Times New Roman"/>
          <w:sz w:val="18"/>
          <w:szCs w:val="18"/>
          <w:color w:val="auto"/>
        </w:rPr>
      </w:pPr>
    </w:p>
    <w:p>
      <w:pPr>
        <w:ind w:left="660" w:right="80" w:hanging="330"/>
        <w:spacing w:after="0" w:line="28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not to maintain or pursue patents and patent applications that, at some point in time, may cover our products, potential products, or product candidates;</w:t>
      </w:r>
    </w:p>
    <w:p>
      <w:pPr>
        <w:spacing w:after="0" w:line="108" w:lineRule="exact"/>
        <w:rPr>
          <w:rFonts w:ascii="Times New Roman" w:cs="Times New Roman" w:eastAsia="Times New Roman" w:hAnsi="Times New Roman"/>
          <w:sz w:val="18"/>
          <w:szCs w:val="18"/>
          <w:color w:val="auto"/>
        </w:rPr>
      </w:pPr>
    </w:p>
    <w:p>
      <w:pPr>
        <w:ind w:left="660" w:right="660" w:hanging="330"/>
        <w:spacing w:after="0" w:line="28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may not provide a basis for commercially viable products, may not provide any competitive advantages or may be successfully challenged by third parties;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representatives or their agents may fail to apply for or maintain patents in a timely fashion; and</w:t>
      </w:r>
    </w:p>
    <w:p>
      <w:pPr>
        <w:spacing w:after="0" w:line="169" w:lineRule="exact"/>
        <w:rPr>
          <w:rFonts w:ascii="Times New Roman" w:cs="Times New Roman" w:eastAsia="Times New Roman" w:hAnsi="Times New Roman"/>
          <w:sz w:val="18"/>
          <w:szCs w:val="18"/>
          <w:color w:val="auto"/>
        </w:rPr>
      </w:pPr>
    </w:p>
    <w:p>
      <w:pPr>
        <w:ind w:left="660" w:right="400" w:hanging="330"/>
        <w:spacing w:after="0" w:line="26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our efforts to enter into agreements with employees, consultants, collaborators, and advisors to confirm ownership and chain of title in patents and patent applications, an inventorship or ownership dispute could arise that may permit one or more third parties to practice our technologies or enforce our patent rights, including possible efforts to enforce patent rights against us.</w:t>
      </w:r>
    </w:p>
    <w:p>
      <w:pPr>
        <w:spacing w:after="0" w:line="11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Even if we have or obtain patents covering CTIM-76, CT-95, CT-202 and any future product candidates or compositions, others may have filed, and in the future may file, patent applications covering compositions, products or methods that are similar or identical to ours, which could materially affect our ability to successfully develop a product candidate or to successfully commercialize any approved products alone or with collaborators. In addition, because patent applications can take many years to issue, there may be currently pending applications unknown to us that may later result in issued patents that may cover CTIM-76, CT-95, CT-202 or any future product candidates or compositions. These patent applications may have priority over patent applications filed by us. For example, we are aware of issued patents in the United States and certain foreign jurisdictions expiring in January 2034 and March 2042 that potentially cover certain parts of the intellectual property included in CTIM-76. While we believe we will have reasonable defenses against any potential claim of infringement, including challenging the validity of any such patents, we may not be successful in such efforts, and we also may not be able to obtain a license to such patents on commercially reasonable terms, or at all. If such patent is valid and not yet expired when, and if, we receive marketing approval for CTIM-76 we may need to seek a license to such patent, which may not be available on commercially reasonable terms or at all. Failure to receive a license to such patent, or other potentially relevant patents currently unknown to us, could delay the manufacture or commercialization of CTIM-76 or require us to incur additional payments and expenses, including legal fees, court issued damages or settlement costs.</w:t>
      </w:r>
    </w:p>
    <w:p>
      <w:pPr>
        <w:spacing w:after="0" w:line="228"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the courts or patent offices in the United States and abroad.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w:t>
      </w:r>
    </w:p>
    <w:p>
      <w:pPr>
        <w:spacing w:after="0" w:line="123"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8"/>
          <w:szCs w:val="18"/>
          <w:color w:val="auto"/>
        </w:rPr>
        <w:t>In the United States, the natural expiration of a patent is generally 20 years after it is filed. Various extensions may be available; however, the life of a patent, and the protection it affords, is limited.</w:t>
      </w:r>
    </w:p>
    <w:p>
      <w:pPr>
        <w:spacing w:after="0" w:line="10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Without patent protection for current or any future product candidates, we may be open to competition from generic or biosimilar versions of such potential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those we or our collaborators may develop.</w:t>
      </w:r>
    </w:p>
    <w:p>
      <w:pPr>
        <w:spacing w:after="0" w:line="12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we also try to protect our trade secrets, know-how and other proprietary information through non-disclosure and confidentiality provisions in our agreements with parties who have access to them, such as our employees, consultants and research partners. Such agreements may not be enforceable or may not provide meaningful protection for our trade secrets, know-how and/or other proprietary information in the event of unauthorized uses or disclosure or other breaches of the provisions, and we may not be able to prevent such unauthorized uses or disclosure. Moreover, if a party having an agreement with us has an overlapping or conflicting obligation to a third party, our rights in and to certain intellectual property could be undermined. Monitoring unauthorized and inadvertent disclosure and uses is difficult, and we do not know whether the steps we have taken to prevent such disclosure and uses are, or will be, adequate. In addition, monitoring unauthorized disclosure and uses of our trade secrets is difficult, and we do not know whether the steps we have taken to prevent such disclosure and uses are, or will be, adequate. If we were to enforce a claim that a third party had illegally obtained and was using our trade secrets, it would be expensive and time-consuming, and the outcome would be unpredictable, and any remedy may be inadequate. In addition, courts outside the United States may be less willing to protect trade secrets.</w:t>
      </w:r>
    </w:p>
    <w:p>
      <w:pPr>
        <w:spacing w:after="0" w:line="13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Because we rely on third parties to manufacture our product candidates, and because we collaborate with various organizations and academic institutions on the advancement of our current and potential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manufacturers,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are used inappropriately to create new inventions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party to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Additionally, we may need to outsource and rely on third parties for many aspects of the development, sales and marketing of any products covered under our current and future license agreements. Delay or failure by these third parties could adversely affect the continuation of our license agreements with our licensors. If we fail to comply with any of our obligations under these agreements, or we are subject to a bankruptcy, our licensors may have the right to terminate the license, in which event we would not be able to market any products covered by the license.</w:t>
      </w:r>
    </w:p>
    <w:p>
      <w:pPr>
        <w:spacing w:after="0" w:line="13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some cases, patent prosecution of our licensed technology is controlled solely by the licensor. If such licensor fails to obtain and maintain patent or other protection for the proprietary intellectual property we license from such licensor, we could lose our rights to such intellectual property or the exclusivity of such rights, and our competitors could market competing products using such intellectual property. In that event, we may be required to expend significant time and resources to develop or license replacement technology. Additionally, if such licensor fails to have patent rights that they otherwise may claim to have for the proprietary intellectual property we license from such licensor or they infringe the intellectual property rights of a third party, it could delay or materially impact our ability to commercialize our product candidates that rely on such intellectual property. In that event, we may be required to expend significant time and resources to develop or license replacement technology, to address any infringement claims that may be made by such third party, and to compensate a third party for any infringement.</w:t>
      </w:r>
    </w:p>
    <w:p>
      <w:pPr>
        <w:spacing w:after="0" w:line="136" w:lineRule="exact"/>
        <w:rPr>
          <w:sz w:val="20"/>
          <w:szCs w:val="20"/>
          <w:color w:val="auto"/>
        </w:rPr>
      </w:pPr>
    </w:p>
    <w:p>
      <w:pPr>
        <w:jc w:val="both"/>
        <w:ind w:right="380"/>
        <w:spacing w:after="0" w:line="264" w:lineRule="auto"/>
        <w:rPr>
          <w:sz w:val="20"/>
          <w:szCs w:val="20"/>
          <w:color w:val="auto"/>
        </w:rPr>
      </w:pPr>
      <w:r>
        <w:rPr>
          <w:rFonts w:ascii="Times New Roman" w:cs="Times New Roman" w:eastAsia="Times New Roman" w:hAnsi="Times New Roman"/>
          <w:sz w:val="18"/>
          <w:szCs w:val="18"/>
          <w:color w:val="auto"/>
        </w:rPr>
        <w:t>If we are unable to develop or license replacement technology, we or our collaborators may be unable to develop or commercialize the affected product candidates, which could harm our business significantly. In other cases, we control the prosecution of patents resulting from licensed technology. In the event we breach any of our obligations related to such prosecution, we may incur significant liability to our licensing partners.</w:t>
      </w:r>
    </w:p>
    <w:p>
      <w:pPr>
        <w:spacing w:after="0" w:line="123"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and is complicated by the rapid pace of scientific discovery in our industry. Disputes may arise regarding intellectual property subject to a licensing agreement, including:</w:t>
      </w:r>
    </w:p>
    <w:p>
      <w:pPr>
        <w:spacing w:after="0" w:line="108" w:lineRule="exact"/>
        <w:rPr>
          <w:sz w:val="20"/>
          <w:szCs w:val="20"/>
          <w:color w:val="auto"/>
        </w:rPr>
      </w:pPr>
    </w:p>
    <w:p>
      <w:pPr>
        <w:ind w:left="640" w:hanging="310"/>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69" w:lineRule="exact"/>
        <w:rPr>
          <w:rFonts w:ascii="Times New Roman" w:cs="Times New Roman" w:eastAsia="Times New Roman" w:hAnsi="Times New Roman"/>
          <w:sz w:val="18"/>
          <w:szCs w:val="18"/>
          <w:color w:val="auto"/>
        </w:rPr>
      </w:pPr>
    </w:p>
    <w:p>
      <w:pPr>
        <w:ind w:left="660" w:right="340" w:hanging="330"/>
        <w:spacing w:after="0" w:line="28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intellectual property of the licensor or a third party that is not subject to the licensing agreement;</w:t>
      </w:r>
    </w:p>
    <w:p>
      <w:pPr>
        <w:spacing w:after="0" w:line="108" w:lineRule="exact"/>
        <w:rPr>
          <w:rFonts w:ascii="Times New Roman" w:cs="Times New Roman" w:eastAsia="Times New Roman" w:hAnsi="Times New Roman"/>
          <w:sz w:val="18"/>
          <w:szCs w:val="18"/>
          <w:color w:val="auto"/>
        </w:rPr>
      </w:pPr>
    </w:p>
    <w:p>
      <w:pPr>
        <w:ind w:left="660" w:right="560" w:hanging="330"/>
        <w:spacing w:after="0" w:line="28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licensed intellectual property may infringe the intellectual property of a third party that is not subject to the licensing agreement, as well as the licensor’s potential breach of its related warranties or obligations in a licensing agreement;</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69" w:lineRule="exact"/>
        <w:rPr>
          <w:rFonts w:ascii="Times New Roman" w:cs="Times New Roman" w:eastAsia="Times New Roman" w:hAnsi="Times New Roman"/>
          <w:sz w:val="18"/>
          <w:szCs w:val="18"/>
          <w:color w:val="auto"/>
        </w:rPr>
      </w:pPr>
    </w:p>
    <w:p>
      <w:pPr>
        <w:ind w:left="660" w:right="40" w:hanging="330"/>
        <w:spacing w:after="0" w:line="28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69"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our current and any future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3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with respect to our current and any future product candidates, thereby potentially extending the term of marketing exclusivity for such product candidates, our business may be harmed.</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FDA marketing approval of our current and any future product candidates, one or more of our U.S. patents may be eligible for limited patent term extension under the Drug Price Competition and Patent Term Restoration Act of 1984, or the Hatch-Waxman Act, which permits a patent term extension of up to five years for a patent covering an approved product as compensation for effective patent term lost during product development and the FDA regulatory review process.</w:t>
      </w:r>
    </w:p>
    <w:p>
      <w:pPr>
        <w:spacing w:after="0" w:line="13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In the European Union, our current and any future product candidates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w:t>
      </w:r>
    </w:p>
    <w:p>
      <w:pPr>
        <w:spacing w:after="0" w:line="123"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124" w:lineRule="exact"/>
        <w:rPr>
          <w:sz w:val="20"/>
          <w:szCs w:val="20"/>
          <w:color w:val="auto"/>
        </w:rPr>
      </w:pPr>
    </w:p>
    <w:p>
      <w:pPr>
        <w:jc w:val="both"/>
        <w:ind w:right="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and the laws of other countries, could diminish the value of patents in general, thereby impairing our ability to protect our products.</w:t>
      </w:r>
    </w:p>
    <w:p>
      <w:pPr>
        <w:spacing w:after="0" w:line="10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The United States has enacted, and continues to consider,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patents, once obtained. Depending on decisions by the U.S. Congress, the federal courts, the USPTO, and the courts and regulatory agencies in other countries, the laws and regulations governing patents could change in unpredictable ways that would weaken our ability to obtain new patents or to enforce our existing patents and patents that we might obtain in the future.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Market for Our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volatile or may decline regardless of our operating performance.</w:t>
      </w:r>
    </w:p>
    <w:p>
      <w:pPr>
        <w:spacing w:after="0" w:line="17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volatile and fluctuate significantly in response to several factors, most of which we cannot control, including:</w:t>
      </w:r>
    </w:p>
    <w:p>
      <w:pPr>
        <w:spacing w:after="0" w:line="108" w:lineRule="exact"/>
        <w:rPr>
          <w:sz w:val="20"/>
          <w:szCs w:val="20"/>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operating results compared to market expectations;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us, the industries we participate in or individual scandals;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or significant price reductions by us or our competitors;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performance of our competitors;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volumes;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purchases or sales causing stock price fluctuations due to low trading volumes;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reaction to our reduced disclosure as a result of being an “emerging growth company” under the JOBS Act;</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earnings or other announcements by us or our competitors;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indebtedness, incurrence of additional indebtedness, or issuances of additional capital stock;</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legal and regulatory factors unrelated to our performance; and</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listed in this “Risk Factors” section.</w:t>
      </w:r>
    </w:p>
    <w:p>
      <w:pPr>
        <w:spacing w:after="0" w:line="169"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Volatility in the market price of our common stock may prevent investors from being able to sell their shares at or above their purchase price. As a result, you may suffer a loss on your investment.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compliance with the continued listing requirements of The Nasdaq Stock Market.</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Stock Market. In order to maintain that listing, we must satisfy minimum financial and other requirements including, without limitation, a requirement that our closing bid price be at least $1.00 per share. On February 27, 2025, we received a letter from Nasdaq stating that the we were not in compliance with Nasdaq Listing Rule 5550(a)(2) (the “Minimum Bid Price Rule”) because our common stock failed to maintain a minimum closing bid price of $1.00 per share for 30 consecutive business days. While we have since regained compliance with the Minimum Bid Price Rule, if we fail to maintain compliance with the Minimum Bid Price Rule or we fail to continue to meet any other applicable continued listing requirement for The Nasdaq Stock Market, our common stock may be delisted, which would adversely affect the market liquidity of our common stock and our ability to obtain financing to fund our operations.</w:t>
      </w:r>
    </w:p>
    <w:p>
      <w:pPr>
        <w:spacing w:after="0" w:line="129"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05"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and/or debt financings, partnerships and collaborations, licensing agreements or</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color w:val="auto"/>
        </w:rPr>
        <w:t>other strategic arrangements. To the extent that we raise additional capital or pay expenses through the sale or issuance of equity or convertible debt securities, your ownership interest will be diluted, and the terms of such securities may include liquidation or other preferences that adversely affect your rights as a common stockholder.</w:t>
      </w:r>
    </w:p>
    <w:p>
      <w:pPr>
        <w:spacing w:after="0" w:line="12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To the extent that we raise additional capital through debt financing, it would result in increased fixed payment obligations and a portion of our operating cash flows, if any, being dedicated to the payment of principal and interest on such indebtedness. In addition, debt financing may involve agreements that include restrictive covenants that impose operating restrictions, such as restrictions on the incurrence of additional debt, the making of certain capital expenditures or the declaration of dividends.</w:t>
      </w:r>
    </w:p>
    <w:p>
      <w:pPr>
        <w:spacing w:after="0" w:line="12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7"/>
          <w:szCs w:val="17"/>
          <w:color w:val="auto"/>
        </w:rPr>
        <w:t>To the extent we raise additional capital through arrangements with collaborators or otherwise, we may be required to relinquish some of our technologies, research programs, product development activities, product candidates and/or future revenue streams, license our technologies and/or product candidates on unfavorable terms or otherwise agree to terms unfavorable to us. Furthermore, any capital raising efforts may divert our management from their day-to-day activities, which may adversely affect our ability to advance research programs, product development activities or current or future product candidates.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stockholder’s ability to buy and sell our common stock.</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Financial Industry Regulatory Authority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129"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ongoing public reporting requirements that are less rigorous than Exchange Act rules for companies that are not emerging growth companies and our stockholders could receive less information than they might expect to receive from more mature public companies.</w:t>
      </w:r>
    </w:p>
    <w:p>
      <w:pPr>
        <w:spacing w:after="0" w:line="10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We are required to publicly report on an ongoing basis as an “emerging growth company” (as defined in the JOBS Act) under the reporting rules set forth under the Exchange Act. For so long as we remain an emerging growth company, we may take advantage of certain exemptions from various reporting requirements that are applicable to other Exchange Act reporting companies that are not emerging growth companies, including but not limited to:</w:t>
      </w:r>
    </w:p>
    <w:p>
      <w:pPr>
        <w:spacing w:after="0" w:line="105" w:lineRule="exact"/>
        <w:rPr>
          <w:sz w:val="20"/>
          <w:szCs w:val="20"/>
          <w:color w:val="auto"/>
        </w:rPr>
      </w:pPr>
    </w:p>
    <w:p>
      <w:pPr>
        <w:ind w:left="640" w:hanging="310"/>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comply with reduced disclosure obligations regarding executive compensation in our periodic reports and proxy statements; and</w:t>
      </w:r>
    </w:p>
    <w:p>
      <w:pPr>
        <w:spacing w:after="0" w:line="180" w:lineRule="exact"/>
        <w:rPr>
          <w:rFonts w:ascii="Times New Roman" w:cs="Times New Roman" w:eastAsia="Times New Roman" w:hAnsi="Times New Roman"/>
          <w:sz w:val="17"/>
          <w:szCs w:val="17"/>
          <w:color w:val="auto"/>
        </w:rPr>
      </w:pPr>
    </w:p>
    <w:p>
      <w:pPr>
        <w:ind w:left="660" w:right="540" w:hanging="330"/>
        <w:spacing w:after="0" w:line="28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exempt from the requirement to hold a non-binding advisory vote on executive compensation and stockholder approval of any golden parachute payments not previously approved.</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to take advantage of these reporting exemptions until we are no longer an emerging growth company, which we currently expect to occur as of December 31, 2026. Because we are subject to ongoing public reporting requirements that are less rigorous than Exchange Act rules for companies that are not emerging growth companies, our stockholders could receive less information than they might expect to receive from more mature public companies. We cannot determinate if investors find our common stock less attractive because we elect to rely on these exemptions, or if taking advantage of these exemptions has or will result in less active trading or more volatility in the price of our common stock.</w:t>
      </w:r>
    </w:p>
    <w:p>
      <w:pPr>
        <w:spacing w:after="0" w:line="128" w:lineRule="exact"/>
        <w:rPr>
          <w:sz w:val="20"/>
          <w:szCs w:val="20"/>
          <w:color w:val="auto"/>
        </w:rPr>
      </w:pPr>
    </w:p>
    <w:p>
      <w:pPr>
        <w:ind w:right="680"/>
        <w:spacing w:after="0" w:line="315"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8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as well as the Sarbanes-Oxley Act and the rules and regulations of the stock market on which our common stock is listed. We are required, pursuant to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if we are not a non-accelerated filer at such time.</w:t>
      </w:r>
    </w:p>
    <w:p>
      <w:pPr>
        <w:spacing w:after="0" w:line="13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or our independent registered public accounting firm determines we have a material weakness in our internal control over financial reporting, investors could lose confidence in the accuracy and completeness of our financial reports, the market price of our common stock could decline, and we could be subject to sanctions or investigations by the SEC or other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being a public company and in the administration of our organizational structure.</w:t>
      </w:r>
    </w:p>
    <w:p>
      <w:pPr>
        <w:spacing w:after="0" w:line="1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significant legal, accounting, insurance, and other expenses, including costs associated with public company reporting requirements. We also have incurred and will continue to incur costs associated with the Sarbanes-Oxley Act and related rules implemented by the SEC and ongoing periodic expenses in connection with the administration of our organizational structure. These laws and regulations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32"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tax rules relating to our business, and any audits, investigations or tax proceedings could have a material adverse effect on our business, results of operations and financial condition.</w:t>
      </w:r>
    </w:p>
    <w:p>
      <w:pPr>
        <w:spacing w:after="0" w:line="10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are subject to income and non-income taxes in the United States and Ireland, as well as the tax laws and regulations related to such matters. Tax accounting and compliance often involves complex issues, and judgment and interpretation is required in determining our provision for income taxes and other tax liabilities as well as the application of tax laws and regulations. We could become subject to income and non-income taxes in non-U.S. jurisdictions other than Ireland as well. In addition, many jurisdictions have detailed transfer pricing rules, which require that all transactions with related parties be priced using arm’s length pricing principles within the meaning of such rules. The application of such transfer pricing rules, as well as of withholding taxes, goods and services taxes, sales taxes and other taxes is not always clear and we may be subject to tax audits relating to such rules or taxes. We are also currently not subject to any tax audits.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However, various items cannot be accurately forecasted and future events may be treated as discrete to the period in which they occur. In addition, the Internal Revenue Service or other taxing authorities may disagree with our positions. Furthermore, existing tax laws, statutes, rules, regulations or ordinances could be interpreted, changed, modified or applied adversely to us (possibly with retroactive effect). If the Internal Revenue Service or any other tax authorities were successful in challenging our positions, or existing tax laws, statutes, rules, regulations or ordinances are so interpreted, changed or modified, we may be liable for additional tax and penalties and interest related thereto or other taxes, as applicable, in excess of any reserves established therefor, which may have a significant impact on our results and operations and future cash flow.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 or security breaches.</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computer systems, as well as those of third parties with which we have relationships, are vulnerable to damage from computer viruses, unauthorized access, natural and manmade disasters, terrorism, war and telecommunication and electrical failures. If we or a third party with which we have relationships were to experience a system failure, accident or security breach, such an event could cause interruptions in our or their operations, or it could result in delays and/or material disruptions of our research and development programs. For example, the loss of trial data from completed, ongoing or planned trials could result in delays in our regulatory approval efforts and significantly increase our costs to recover or reproduce the data. To the extent that any disruption or security breach were to result in a loss of or damage to data or applications, or inappropriate disclosure of personal, confidential or proprietary information, we could incur liability and the development of our current and any future product candidates could be delayed.</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U.S. federal and various state and foreign governments have enacted or proposed requirements regarding the collection, distribution, use, security and storage of personally identifiable information and other data relating to individuals, and U.S. federal and state consumer protection laws are being applied to enforce regulations related to the online collection, use and dissemination of data. In the ordinary course of our business, we and third parties with which we have relationships collect and store sensitive data, including intellectual property, clinical trial data, proprietary business information, personal data and personally identifiable information of our clinical trial subjects and employees, consultants and contractors, in data centers and on networks. The secure processing, maintenance and transmission of this information is critical to our operations. Despite our and our collaborators’ security measures, our information technology and infrastructure may be vulnerable to attacks by hackers or internal bad actors, breaches due to employee error, technical vulnerabilities, malfeasance or other disruptions, and any such breach could compromise our or their networks and the information stored there could be accessed, publicly disclosed, lost or stolen.</w:t>
      </w:r>
    </w:p>
    <w:p>
      <w:pPr>
        <w:spacing w:after="0" w:line="132"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7"/>
          <w:szCs w:val="17"/>
          <w:color w:val="auto"/>
        </w:rPr>
        <w:t>Any such access, disclosure, notifications, follow-up actions related to such a security breach or other loss of information could result in legal claims or proceedings, liability under laws that protect the privacy of personal information and significant costs, including regulatory penalties, fines and legal expenses, and such an event could disrupt our operations, cause us to incur remediation costs, damage our reputation and cause a loss of confidence in us and our collaborators’ ability to conduct clinical trials, which could adversely affect our reputation and delay our research and development programs.</w:t>
      </w:r>
    </w:p>
    <w:p>
      <w:pPr>
        <w:spacing w:after="0" w:line="108"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or third parties with whom we have relationships may be adversely affected by natural or manmade disasters, and our business continuity and disaster recovery plans may not adequately protect us from a serious disaster.</w:t>
      </w:r>
    </w:p>
    <w:p>
      <w:pPr>
        <w:spacing w:after="0" w:line="10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Natural or manmade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facilities, that damaged our infrastructure or that otherwise disrupted operations, it may be difficult or, in certain cases, impossible for us to continue our business for a substantial period of time, and our research and development activities could be setback or delayed.</w:t>
      </w:r>
    </w:p>
    <w:p>
      <w:pPr>
        <w:spacing w:after="0" w:line="12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and such an event could disrupt our operations, cause us to incur remediation costs, damage our reputation and cause a loss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780"/>
        <w:spacing w:after="0" w:line="280" w:lineRule="auto"/>
        <w:rPr>
          <w:sz w:val="20"/>
          <w:szCs w:val="20"/>
          <w:color w:val="auto"/>
        </w:rPr>
      </w:pPr>
      <w:r>
        <w:rPr>
          <w:rFonts w:ascii="Times New Roman" w:cs="Times New Roman" w:eastAsia="Times New Roman" w:hAnsi="Times New Roman"/>
          <w:sz w:val="18"/>
          <w:szCs w:val="18"/>
          <w:color w:val="auto"/>
        </w:rPr>
        <w:t>confidence in us and our or third parties’ ability to conduct clinical trials, which could adversely affect our reputation and delay our research and development programs.</w:t>
      </w:r>
    </w:p>
    <w:p>
      <w:pPr>
        <w:spacing w:after="0" w:line="10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0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may now and in the future employ individuals who were previously employed at universities or other biotechnology or pharmaceutical companies, including our competitors or potential competitors. We may be subject to claims that we or our employees, consultants or independent contractors have inadvertently or otherwise used or disclosed intellectual property, including trade secrets or other proprietary information, of any of our employees’ former employers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 and consultants.</w:t>
      </w:r>
    </w:p>
    <w:p>
      <w:pPr>
        <w:spacing w:after="0" w:line="113"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 or litigation challenging the validity of provisions in our amended and restated certificate of incorporation or amended and restated bylaws.</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companies following a decline in the market price of their securities. This risk is especially relevant for us because biotechnology companies have experienced significant share price volatility in recent years. In addition, litigation challenging the validity of provisions in a public company’s certificate of incorporation or bylaws has been increasing in recent years, and we have in the past, and may again in the future, be the subject of such litigation.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7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We recognize the critical importance of developing, implementing, and maintaining robust cybersecurity measures to safeguard our information systems and protect the confidentiality, integrity, and availability of our data.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Managing Material Risks &amp; Integrated Overall Risk Management</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We have strategically integrated cybersecurity risk management into our broader risk management framework to promote a company-wide culture of cybersecurity risk management. This integration is intended to ensure that cybersecurity considerations are an integral part of our decision-making processes at every level. Our management team works closely with our Information Technology provider to continuously evaluate and address cybersecurity risks in alignment with our business objectives and operational needs.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 Third Parties on Risk Management</w:t>
      </w:r>
    </w:p>
    <w:p>
      <w:pPr>
        <w:spacing w:after="0" w:line="17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Recognizing the complexity and evolving nature of cybersecurity threats, we engage with external experts, including cybersecurity assessors, consultants, and auditors in evaluating and testing our risk management systems. These partnerships enable us to leverage specialized knowledge and insights as part of our cybersecurity strategies and processes. Our collaboration with these third parties includes regular audits, threat assessments, and consultation on security enhancements.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Cybersecurity Threats</w:t>
      </w:r>
    </w:p>
    <w:p>
      <w:pPr>
        <w:spacing w:after="0" w:line="171" w:lineRule="exact"/>
        <w:rPr>
          <w:sz w:val="20"/>
          <w:szCs w:val="20"/>
          <w:color w:val="auto"/>
        </w:rPr>
      </w:pPr>
    </w:p>
    <w:p>
      <w:pPr>
        <w:ind w:right="440"/>
        <w:spacing w:after="0" w:line="264" w:lineRule="auto"/>
        <w:rPr>
          <w:sz w:val="20"/>
          <w:szCs w:val="20"/>
          <w:color w:val="auto"/>
        </w:rPr>
      </w:pPr>
      <w:r>
        <w:rPr>
          <w:rFonts w:ascii="Times New Roman" w:cs="Times New Roman" w:eastAsia="Times New Roman" w:hAnsi="Times New Roman"/>
          <w:sz w:val="18"/>
          <w:szCs w:val="18"/>
          <w:color w:val="auto"/>
        </w:rPr>
        <w:t>We have not encountered cybersecurity threats that have materially affected, or are reasonably likely to materially affect, our company, including our business strategy, results of operations or financial condition. For a discussion of whether and how any risks from cybersecurity threats may materially affect us, see Part I, Item 1A. Risk Factors.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Our Board of Directors is acutely aware of the critical nature of managing risks associated with cybersecurity threats and has tasked the Audit Committee with overseeing our cybersecurity program. As described above, we obtain periodic assessments of our cybersecurity program from independent third-party experts. Additionally, cybersecurity threats and incidents determined through our cybersecurity program to present potential material impacts to our financial results, operations, or reputation are required to be immediately reported to our Audit Committee in accordance with our escalation framework.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Role Managing Risk</w:t>
      </w:r>
    </w:p>
    <w:p>
      <w:pPr>
        <w:spacing w:after="0" w:line="171" w:lineRule="exact"/>
        <w:rPr>
          <w:sz w:val="20"/>
          <w:szCs w:val="20"/>
          <w:color w:val="auto"/>
        </w:rPr>
      </w:pPr>
    </w:p>
    <w:p>
      <w:pPr>
        <w:jc w:val="both"/>
        <w:ind w:right="280"/>
        <w:spacing w:after="0" w:line="264" w:lineRule="auto"/>
        <w:rPr>
          <w:sz w:val="20"/>
          <w:szCs w:val="20"/>
          <w:color w:val="auto"/>
        </w:rPr>
      </w:pPr>
      <w:r>
        <w:rPr>
          <w:rFonts w:ascii="Times New Roman" w:cs="Times New Roman" w:eastAsia="Times New Roman" w:hAnsi="Times New Roman"/>
          <w:sz w:val="18"/>
          <w:szCs w:val="18"/>
          <w:color w:val="auto"/>
        </w:rPr>
        <w:t>Our Senior Vice President (“SVP”) of Operations plays a pivotal role in informing our Board of Directors on cybersecurity risks. Our SVP of Operations also had responsibility for managing cybersecurity matters at a prior employer. Our SVP of Operations provides comprehensive briefings to the Board of Directors on a regular basis, with a minimum frequency of once per year. These briefings encompass a broad range of topics, including:</w:t>
      </w:r>
    </w:p>
    <w:p>
      <w:pPr>
        <w:spacing w:after="0" w:line="123" w:lineRule="exact"/>
        <w:rPr>
          <w:sz w:val="20"/>
          <w:szCs w:val="20"/>
          <w:color w:val="auto"/>
        </w:rPr>
      </w:pPr>
    </w:p>
    <w:p>
      <w:pPr>
        <w:ind w:left="640" w:hanging="31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cybersecurity landscape and emerging threats;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cybersecurity initiatives and strategies;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Learnings from any cybersecurity events; and</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and industry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In addition to our scheduled meetings, the SVP of Operations and Chief Executive Officer maintain an ongoing dialogue regarding emerging or potential cybersecurity risks.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Monitor Cybersecurity Incidents</w:t>
      </w:r>
    </w:p>
    <w:p>
      <w:pPr>
        <w:spacing w:after="0" w:line="17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The SVP of Operations is continually informed about the latest developments in cybersecurity, including potential threats and innovative risk management techniques. This ongoing knowledge acquisition is crucial for the effective prevention, detection, mitigation, and remediation of cybersecurity incidents. The SVP of Operations implements and oversees processes for the regular monitoring of our information systems. This includes the deployment of advanced security measures and regular system audits to identify potential vulnerabilities.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to Senior Leadership</w:t>
      </w:r>
    </w:p>
    <w:p>
      <w:pPr>
        <w:spacing w:after="0" w:line="17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The SVP of Operations, in his capacity, regularly informs the Chief Financial Officer and Chief Executive Officer of all aspects related to material cybersecurity risks and incidents. This is intended to ensure that the highest levels of management are kept abreast of the cybersecurity posture and potential risks facing 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corporate headquarters are located at 2001 Market Street, Suite 3915, Unit #15, Philadelphia, PA 19103, where we occupy approximately 6,200 square feet of office space pursuant to a lease most recently amended in January 2026 that expires on November 30, 2027. This amended lease included additional office space and allows us to renew the lease at our option for one additional successive one-year period. We believe our facility is adequate to meet our current needs, although we may seek to negotiate new leases or evaluate additional or alternate space for our operations. If needed, we believe appropriate alternative space will be readily available on commercially reasonable terms.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3"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Except as disclosed below, we are not presently a party to any material legal proceedings.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February 4, 2026, the Vladimir Gusinsky Revocable Trust filed a stockholder class action complaint (the “Action”) against us and our directors in the Court of Chancery of the State of Delaware (the “Court”) asserting that (i) Article V, Section 2 of our Amended and Restated Certificate of Incorporation, as amended (the “Certificate of Incorporation”), provides for a full term of three years for directors in violation of Section 211(b) of the General Corporation Law of the State of Delaware (the “DGCL”) and (ii) Article VI, Section 1 of the Certificate of Incorporation limits removal of directors only for cause in violation of Section 141(k) of the DGCL.</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February 24, 2026, a stipulation and proposed consent judgment (the “Stipulated Judgment”) was filed with the Court regarding the Action, and on March 11, 2026, the Court approved the Stipulated Judgment, pursuant to which Article V, Section 2 and Article VI, Section 1 of the Certificate of Incorporation were determined to be invalid and unenforceable. On March 11, 2026, we filed a Certificate of Correction with the Delaware Secretary of State reflecting such provisions as invalid, unenforceable and no longer part of the Certificate of Incorporation. Accordingly, the term of office of our current members of the Board of Directors will expire at our 2026 annual meeting of stockholders, with each serving until his or her successor is duly elected and qualified or until his or her earlier death, resignation or removal. In addition, directors may be removed, with or without cause, by the holders of a majority of the shares then entitled to vote at an election of directors.</w:t>
      </w:r>
    </w:p>
    <w:p>
      <w:pPr>
        <w:spacing w:after="0" w:line="133"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On March 11, 2026, pursuant to the Stipulated Judgment, the Action was dismissed with prejudice with respect to the plaintiff; however, the Court retains jurisdiction to address any mootness fee application.</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 of Equity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has been traded on The Nasdaq Stock Market under the symbol “CNTX” since October 20, 2021 following our initial public offering.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73"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color w:val="auto"/>
        </w:rPr>
        <w:t>As of March 19, 2026, we had 91,879,177 shares of common stock outstanding held by 45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We have not paid cash dividends on any class of our stock to date, and we do not anticipate paying any cash dividends in the near term. For the foreseeable future, we intend to retain any earnings to finance the development and expansion of our business, and we do not anticipate paying any cash dividends on our stock. Any determination to pay dividends in the future will be made at the discretion of our board of directors and will depend on our results of operations, financial condition, contractual restrictions, restrictions imposed by applicable law and other factors our board deems relevant.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3"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color w:val="auto"/>
        </w:rPr>
        <w:t>Information required by Item 5 of Form 10-K regarding our equity compensation plans is incorporated herein by reference to Item 12 of Part III of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fourth quarter of 2025, we granted inducement stock options outside of the 2021 Long-Term Performance Incentive Plan covering 30,000 shares of the Company’s common stock to a new employee (the “Inducement Grant”) with an exercise price of $0.97 per share. The Inducement Grant will vest as to 25% of the shares on the first anniversary of the date of grant and in successive equal monthly installments over the subsequent three years, subject to continued employment with the Company and the terms and conditions in the stock option agreement. The options were granted pursuant to the exemption contained in Section 4(a)(2) of the Securities Act of 1933.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and other financial information included elsewhere in this Form 10-K. Some of the information contained in this discussion and analysis, including information with respect to our plans and strategy for our business, contains forward-looking statements that involve risks and uncertainties. You should review the section titled “Risk Factors” in this Form 10-K for a discussion of important factors that could cause actual results to differ materially from the results described below. Please also see the section entitled “Note Regarding Forward-Looking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0"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8"/>
          <w:szCs w:val="18"/>
          <w:color w:val="auto"/>
        </w:rPr>
        <w:t>We are a clinical-stage biopharmaceutical company advancing TCE bispecific antibodies for solid tumors. Our goal is to build an innovative portfolio of TCE bispecific therapeutics, including CTIM-76, a CLDN6 x CD3 TCE, CT-95, an MSLN x CD3 TCE, and CT-202, a Nectin-4 x CD3 TCE.</w:t>
      </w:r>
    </w:p>
    <w:p>
      <w:pPr>
        <w:spacing w:after="0" w:line="190" w:lineRule="exact"/>
        <w:rPr>
          <w:sz w:val="20"/>
          <w:szCs w:val="20"/>
          <w:color w:val="auto"/>
        </w:rPr>
      </w:pPr>
    </w:p>
    <w:p>
      <w:pPr>
        <w:jc w:val="both"/>
        <w:ind w:right="180"/>
        <w:spacing w:after="0" w:line="243" w:lineRule="auto"/>
        <w:rPr>
          <w:sz w:val="20"/>
          <w:szCs w:val="20"/>
          <w:color w:val="auto"/>
        </w:rPr>
      </w:pPr>
      <w:r>
        <w:rPr>
          <w:rFonts w:ascii="Times New Roman" w:cs="Times New Roman" w:eastAsia="Times New Roman" w:hAnsi="Times New Roman"/>
          <w:sz w:val="18"/>
          <w:szCs w:val="18"/>
          <w:color w:val="auto"/>
        </w:rPr>
        <w:t>CTIM-76 is a CLDN6 x CD3 TCE that is intended to redirect T-cell-mediated lysis toward malignant cells expressing CLDN6. CLDN6 is a tight junction membrane protein target expressed in multiple solid tumors and absent from or expressed at low levels in healthy adult tissues. We have an active IND for CTIM-76 with the FDA. We dosed the first patient in our CTIM-76 Phase 1 clinical trial in January 2025. We expect to share Phase 1a interim data for the CTIM-76 trial in June 2026.</w:t>
      </w:r>
    </w:p>
    <w:p>
      <w:pPr>
        <w:spacing w:after="0" w:line="210" w:lineRule="exact"/>
        <w:rPr>
          <w:sz w:val="20"/>
          <w:szCs w:val="20"/>
          <w:color w:val="auto"/>
        </w:rPr>
      </w:pPr>
    </w:p>
    <w:p>
      <w:pPr>
        <w:jc w:val="both"/>
        <w:ind w:right="240"/>
        <w:spacing w:after="0" w:line="241" w:lineRule="auto"/>
        <w:rPr>
          <w:sz w:val="20"/>
          <w:szCs w:val="20"/>
          <w:color w:val="auto"/>
        </w:rPr>
      </w:pPr>
      <w:r>
        <w:rPr>
          <w:rFonts w:ascii="Times New Roman" w:cs="Times New Roman" w:eastAsia="Times New Roman" w:hAnsi="Times New Roman"/>
          <w:sz w:val="18"/>
          <w:szCs w:val="18"/>
          <w:color w:val="auto"/>
        </w:rPr>
        <w:t>CT-95 is an MSLN x CD3 TCE that is intended to redirect T-cell-mediated lysis toward malignant cells expressing MSLN. MSLN is a membrane protein overexpressed in approximately 30% of cancers. We dosed the first patient in our CT-95 Phase 1 trial in April 2025. We expect to share Phase 1a interim data for the CT-95 trial in September 2026.</w:t>
      </w:r>
    </w:p>
    <w:p>
      <w:pPr>
        <w:spacing w:after="0" w:line="21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CT-202 is a Nectin-4 x CD3 TCE that targets Nectin-4, a cell surface protein that is highly and frequently overexpressed in a variety of solid tumors, including bladder, colorectal, lung and breast. Nectin-4 is a clinically validated target for cancer therapy using a traditional antibody-drug conjugate, but it is also associated with certain adverse events, including neuropathy and rash. CT-202 is a pH-dependent TCE that is designed to be preferentially active within the tumor microenvironment. We submitted our application to the HREC in March 2026 to support the initiation of a first-in-human trial for CT-202. We expect to dose the first patient in our CT-202 Phase 1 trial in the third quarter of 2026.</w:t>
      </w:r>
    </w:p>
    <w:p>
      <w:pPr>
        <w:spacing w:after="0" w:line="210"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We were incorporated in April 2015 under the laws of the State of Delaware. Since inception, we have devoted substantially all of our resources to developing product and technology rights, conducting research and development, organizing and staffing our company, business planning and raising capital. We operate as one business segment and have incurred recurring losses, the majority of which are attributable to research and development activities, and negative cash flows from operations. We have funded our operations primarily through the sale of common stock, warrants, convertible debt and convertible preferred stock. Our net loss was $36.1 million for the year ended December 31, 2025. As of December 31, 2025, we had an accumulated deficit of $130.9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 Agreements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CTIM-76: Integral Molecular License Agreement</w:t>
      </w:r>
    </w:p>
    <w:p>
      <w:pPr>
        <w:spacing w:after="0" w:line="1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April 2021, we entered into a collaboration and licensing agreement with Integral Molecular, Inc. (“Integral”) (the “Integral License Agreement”) for the development of a CLDN6 bsAb for cancer therapy. On February 29, 2024, we further amended (the "Second Amendment") the Research Collaboration and License Agreement (the “Integral License Agreement”, as amended) with Integral to reflect updated financial terms. In the course of our further due diligence review of CTIM-76, we determined that certain of the licensed rights under the Integral License Agreement may incorporate intellectual property rights currently held by a third party. Specifically, at the time of the Second Amendment, we were aware of issued patents in the United States and certain foreign jurisdictions expiring in January 2034, and then in 2025 became aware of a patent that issued in the United States expiring in March 2042, in each instance that potentially covers certain parts of the intellectual property included in CTIM-76. While we believe we will have reasonable defenses against any potential claim of infringement,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successful in such efforts, and we also may not be able to obtain a license to such patent on commercially reasonable terms, or at all.</w:t>
      </w:r>
    </w:p>
    <w:p>
      <w:pPr>
        <w:spacing w:after="0" w:line="1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part of the Second Amendment, Integral’s right to receive certain future payments was reduced as follows: aggregate development and regulatory milestone payments were reduced from $55 million to $15 million, aggregate sales milestone payments were reduced from $130 million to $12.5 million, and a tiered royalty of 8-12% that commenced at first commercial sale was reduced to a flat royalty rate of 6% on net sales beginning no sooner than February 1, 2034. The Second Amendment also narrowed the license grant from Integral to us to only cover CTIM-76, removed any further obligation of us to reimburse Integral for any independently obtained research funding Integral applied against CTIM-76 research, and included mutual releases by the parties.</w:t>
      </w:r>
    </w:p>
    <w:p>
      <w:pPr>
        <w:spacing w:after="0" w:line="13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The reduced development and regulatory milestones now reflect a payment due at each of: first patient’s first screening visit in a Phase 1b/2 or Phase 2 clinical trial for CTIM-76, first patient’s first screening visit in a Phase 3 clinical trial for CTIM-76, United States marketing approval for CTIM-76, European Union marketing approval for CTIM-76, United Kingdom marketing approval for CTIM-76, and Japan marketing approval for CTIM-76. The amended commercial milestones now also reflect a payment due upon the achievement of annual net sales of $500 million and annual net sales of $1 billion.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CT-95: Link Purchase Agreement</w:t>
      </w:r>
    </w:p>
    <w:p>
      <w:pPr>
        <w:spacing w:after="0" w:line="24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On July 9, 2024, we entered into an asset purchase agreement (the “Asset Purchase Agreement”) pursuant to which we acquired CT-95 (formerly known as LNK-101), from Link (assignment for the benefit of creditors), LLC (“Link”), which succeeded to the assets of Link Immunotherapeutics Inc. The FDA previously cleared the IND application for CT-95.</w:t>
      </w:r>
    </w:p>
    <w:p>
      <w:pPr>
        <w:spacing w:after="0" w:line="202"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8"/>
          <w:szCs w:val="18"/>
          <w:color w:val="auto"/>
        </w:rPr>
        <w:t>Pursuant to the Asset Purchase Agreement, we purchased all of the assets of Link associated with CT-95, including patent rights, know-how, regulatory filings, and inventory of drug substance and drug product (the “Transferred Assets”), on an “as is” and “where is” basis. CT-95 patents are currently being prosecuted and/or maintained in the United States, Europe, Canada, Australia, Japan and Taiwan. We also assumed certain liabilities relating to the Transferred Assets. In consideration of the Transferred Assets, we made a one-time payment to Link of $3.75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CT-202: BioAtla License Agreement</w:t>
      </w:r>
    </w:p>
    <w:p>
      <w:pPr>
        <w:spacing w:after="0" w:line="240"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18"/>
          <w:szCs w:val="18"/>
          <w:color w:val="auto"/>
        </w:rPr>
        <w:t>On September 23, 2024, we entered into a license agreement (the “BioAtla License Agreement”) with BioAtla, Inc. ("Bioatla"), pursuant to which we obtained an exclusive, worldwide license to develop, manufacture and commercialize two licensed antibodies (the “BioAtla Assets”), including BA3362 (renamed by the Company as CT-202), BioAtla’s Nectin-4 x CD3 TCE bispecific antibody.</w:t>
      </w:r>
    </w:p>
    <w:p>
      <w:pPr>
        <w:spacing w:after="0" w:line="20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As partial consideration for the exclusive license under the BioAtla License Agreement, we made an upfront payment of $11.0 million, and BioAtla is eligible to receive up to $122.5 million in additional milestone payments based upon the achievement of specified pre-clinical, clinical, development and commercial milestones, as well as tiered mid-single-digit to low double-digit royalties on future net sales for products containing the BioAtla Assets, subject to standard reductions. In October 2025, we achieved a $2.0 million development milestone under the BioAtla License Agreement, which we paid to BioAtla in the fourth quarter of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w:t>
      </w:r>
    </w:p>
    <w:p>
      <w:pPr>
        <w:spacing w:after="0" w:line="240"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Currently, our primary use of cash is to fund operating expenses, which consist primarily of research and development expenditures, as well as general and administrative expenditures. Our ability to generate product revenue sufficient to achieve profitability will depend heavily on the successful development and eventual commercialization of one or more of our current or any future product candidates. We expect to continue to incur significant expenses and operating losses for the foreseeable future as we advance our current and any future product candidates through all stages of development and clinical trials and, ultimately, seek regulatory approval. In addition, if we obtain regulatory approval for any product candidate, we expect to incur significant commercialization expenses related to product manufacturing, marketing, sales and distribution. Furthermore, we have incurred and continue to incur significant costs associated with operating as a public company, including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8"/>
          <w:szCs w:val="18"/>
          <w:color w:val="auto"/>
        </w:rPr>
        <w:t>accounting, investor relations and other expenses. Our net losses may fluctuate significantly from quarter-to-quarter and year-to-year, depending on the timing of our clinical trials and our expenses on other research and development activities.</w:t>
      </w:r>
    </w:p>
    <w:p>
      <w:pPr>
        <w:spacing w:after="0" w:line="19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$66.0 million, which we expect will be sufficient to fund the estimated duration of the Phase 1a dose escalation portions of our CTIM-76 and CT-95 trials, the estimated expenses to initiate patient enrollment in a first-in-human trial for CT-202, as well as our operations into mid-2027. If the Company is unable to obtain additional financing, the lack of liquidity could have a material adverse effect on the Company’s future prospects.</w:t>
      </w: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will need to raise substantial additional capital to support our continuing operations and pursue our growth strategy. Until such time as we can generate significant revenue from product sales, if ever, we plan to finance our operations through a combination of equity offerings, debt financings, collaborations, strategic transactions and/or marketing, distribution or licensing arrangements.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5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On December 2, 2024, we entered into a Sales Agreement (the “ATM Sales Agreement”) with Leerink Partners LLC (the “Agent”). Pursuant to the terms of the ATM Sales Agreement, we may offer and sell shares of common stock having an aggregate offering amount of up to $75.0 million from time to time through the Agent (the “ATM Shares”). Sales of the ATM Shares may be made in sales deemed to be an “at-the-market offering” as defined in Rule 415 under the Securities Act. On December 23, 2024, we sold 14,705,882 shares of our common stock under the ATM Sales Agreement for net proceeds of approximately $14.5 million. On October 24, 2025, we entered into Amendment No. 1 to Sales Agreement (the “Amendment”, and together with the ATM Sales Agreement, the “Amended ATM Sales Agreement”) to provide for an increase in the aggregate offering amount under the Amended ATM Sales Agreement, such that following the filing of a new prospectus supplement with respect to the ATM Shares on October 24, 2025, we may offer and sell ATM Shares having an aggregate offering price of up to $75.0 million, exclusive of ATM Shares previously sold in December 2024. The Agent will be entitled to a commission from the Company of up to 3.0% of the gross proceeds from the sale of ATM Shares sold under the Amended ATM Sales Agreement.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40"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8"/>
          <w:szCs w:val="18"/>
          <w:color w:val="auto"/>
        </w:rPr>
        <w:t>On May 1, 2024, we entered into a securities purchase agreement (the “Purchase Agreement”) for the private placement (the “Private Placement”) of (i) 59,032,259 shares (the “PIPE Shares”) of our common stock at a purchase price of $1.55 per PIPE Share, and (ii) pre-funded warrants (the “Pre-Funded Warrants”) to purchase 5,482,741 shares of common stock (the “Warrant Shares”) at a purchase price of $1.549 per Pre-Funded Warrant. The Pre-Funded Warrants have an exercise price of $0.001 per share of common stock, are immediately exercisable and remain exercisable until exercised in full. The aggregate gross proceeds for the Private Placement were approximately $100 million, before deducting offering expenses of $5.2 million, and the Private Placement closed on May 6, 2024. In September 2025, 2,178,200 Pre-Funded Warrants were exercised on a cashless basis, resulting in the issuance of 2,174,983 shares of common stock. As of December 31, 2025, 3,304,541 Pre-Funded Warrants remained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1" w:lineRule="exact"/>
        <w:rPr>
          <w:sz w:val="20"/>
          <w:szCs w:val="20"/>
          <w:color w:val="auto"/>
        </w:rPr>
      </w:pPr>
    </w:p>
    <w:p>
      <w:pPr>
        <w:ind w:right="820"/>
        <w:spacing w:after="0" w:line="280" w:lineRule="auto"/>
        <w:rPr>
          <w:sz w:val="20"/>
          <w:szCs w:val="20"/>
          <w:color w:val="auto"/>
        </w:rPr>
      </w:pPr>
      <w:r>
        <w:rPr>
          <w:rFonts w:ascii="Times New Roman" w:cs="Times New Roman" w:eastAsia="Times New Roman" w:hAnsi="Times New Roman"/>
          <w:sz w:val="18"/>
          <w:szCs w:val="18"/>
          <w:color w:val="auto"/>
        </w:rPr>
        <w:t>Research and development expenses have consisted primarily of costs incurred in connection with the discovery and development of our product candidates. We expense research and development costs as incurred, including:</w:t>
      </w:r>
    </w:p>
    <w:p>
      <w:pPr>
        <w:spacing w:after="0" w:line="108" w:lineRule="exact"/>
        <w:rPr>
          <w:sz w:val="20"/>
          <w:szCs w:val="20"/>
          <w:color w:val="auto"/>
        </w:rPr>
      </w:pPr>
    </w:p>
    <w:p>
      <w:pPr>
        <w:ind w:left="820" w:right="200" w:hanging="329"/>
        <w:spacing w:after="0" w:line="280"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discovery-stage laboratory work, preclinical studies and clinical trials required to obtain regulatory approval;</w:t>
      </w:r>
    </w:p>
    <w:p>
      <w:pPr>
        <w:spacing w:after="0" w:line="108" w:lineRule="exact"/>
        <w:rPr>
          <w:rFonts w:ascii="Times New Roman" w:cs="Times New Roman" w:eastAsia="Times New Roman" w:hAnsi="Times New Roman"/>
          <w:sz w:val="18"/>
          <w:szCs w:val="18"/>
          <w:color w:val="auto"/>
        </w:rPr>
      </w:pPr>
    </w:p>
    <w:p>
      <w:pPr>
        <w:ind w:left="820" w:right="200" w:hanging="329"/>
        <w:spacing w:after="0" w:line="280"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share-based compensation expense for our employees and consultants engaged in research and development functions;</w:t>
      </w:r>
    </w:p>
    <w:p>
      <w:pPr>
        <w:spacing w:after="0" w:line="108" w:lineRule="exact"/>
        <w:rPr>
          <w:rFonts w:ascii="Times New Roman" w:cs="Times New Roman" w:eastAsia="Times New Roman" w:hAnsi="Times New Roman"/>
          <w:sz w:val="18"/>
          <w:szCs w:val="18"/>
          <w:color w:val="auto"/>
        </w:rPr>
      </w:pPr>
    </w:p>
    <w:p>
      <w:pPr>
        <w:ind w:left="820" w:right="520" w:hanging="329"/>
        <w:spacing w:after="0" w:line="280"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contract research organizations (“CROs”) that conduct our clinical trials, as well as investigative sites, consultants and CROs that conduct our preclinical and clinical studies;</w:t>
      </w:r>
    </w:p>
    <w:p>
      <w:pPr>
        <w:spacing w:after="0" w:line="108" w:lineRule="exact"/>
        <w:rPr>
          <w:rFonts w:ascii="Times New Roman" w:cs="Times New Roman" w:eastAsia="Times New Roman" w:hAnsi="Times New Roman"/>
          <w:sz w:val="18"/>
          <w:szCs w:val="18"/>
          <w:color w:val="auto"/>
        </w:rPr>
      </w:pPr>
    </w:p>
    <w:p>
      <w:pPr>
        <w:ind w:left="820" w:right="280" w:hanging="329"/>
        <w:spacing w:after="0" w:line="280" w:lineRule="auto"/>
        <w:tabs>
          <w:tab w:leader="none" w:pos="8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including manufacturing scale-up expenses, milestone-based payments, and the cost of acquiring and manufacturing preclinical study and clinical trial materials;</w:t>
      </w:r>
    </w:p>
    <w:p>
      <w:pPr>
        <w:spacing w:after="0" w:line="108" w:lineRule="exact"/>
        <w:rPr>
          <w:rFonts w:ascii="Times New Roman" w:cs="Times New Roman" w:eastAsia="Times New Roman" w:hAnsi="Times New Roman"/>
          <w:sz w:val="18"/>
          <w:szCs w:val="18"/>
          <w:color w:val="auto"/>
        </w:rPr>
      </w:pPr>
    </w:p>
    <w:p>
      <w:pPr>
        <w:ind w:left="800" w:hanging="309"/>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69" w:lineRule="exact"/>
        <w:rPr>
          <w:rFonts w:ascii="Times New Roman" w:cs="Times New Roman" w:eastAsia="Times New Roman" w:hAnsi="Times New Roman"/>
          <w:sz w:val="18"/>
          <w:szCs w:val="18"/>
          <w:color w:val="auto"/>
        </w:rPr>
      </w:pPr>
    </w:p>
    <w:p>
      <w:pPr>
        <w:ind w:left="800" w:hanging="309"/>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payments and acquisitions of acquired in-process research and development assets that have no alternative future use;</w:t>
      </w:r>
    </w:p>
    <w:p>
      <w:pPr>
        <w:spacing w:after="0" w:line="169" w:lineRule="exact"/>
        <w:rPr>
          <w:rFonts w:ascii="Times New Roman" w:cs="Times New Roman" w:eastAsia="Times New Roman" w:hAnsi="Times New Roman"/>
          <w:sz w:val="18"/>
          <w:szCs w:val="18"/>
          <w:color w:val="auto"/>
        </w:rPr>
      </w:pPr>
    </w:p>
    <w:p>
      <w:pPr>
        <w:ind w:left="800" w:hanging="309"/>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69" w:lineRule="exact"/>
        <w:rPr>
          <w:rFonts w:ascii="Times New Roman" w:cs="Times New Roman" w:eastAsia="Times New Roman" w:hAnsi="Times New Roman"/>
          <w:sz w:val="18"/>
          <w:szCs w:val="18"/>
          <w:color w:val="auto"/>
        </w:rPr>
      </w:pPr>
    </w:p>
    <w:p>
      <w:pPr>
        <w:ind w:left="800" w:hanging="309"/>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and maintenance.</w:t>
      </w:r>
    </w:p>
    <w:p>
      <w:pPr>
        <w:spacing w:after="0" w:line="169"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8"/>
          <w:szCs w:val="18"/>
          <w:color w:val="auto"/>
        </w:rPr>
        <w:t>We track outsourced development costs and other external research and development costs to specific product candidates on a program-by-program basis. However, we do not track our internal research and development expenses on a program-by-program basis as they primarily relate to compensation, early research and other costs which are deployed across multiple projects under development.</w:t>
      </w:r>
    </w:p>
    <w:p>
      <w:pPr>
        <w:spacing w:after="0" w:line="12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share-based compensation, conduct our clinical trials, including later-stage clinical trials, for current and any future product candidates and prepare regulatory filings for our current and any future product candidates.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expenses have consisted primarily of personnel expenses, including salaries, benefits and share-based compensation expense, for employees and consultants in executive, finance and accounting, legal, operations support, information technology and business development functions. General and administrative expense also includes corporate facility costs not otherwise included in research and development expense, including rent, utilities and insurance, as well as legal fees related to intellectual property and corporate matters and fees for accounting and consulting services.</w:t>
      </w:r>
    </w:p>
    <w:p>
      <w:pPr>
        <w:spacing w:after="0" w:line="12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to support our continued research and development activities, potential commercialization efforts and increased costs of operating as a public company. These increases will likely include increased costs related to the hiring of additional personnel and fees to outside consultants, legal support and accountants, among other expenses. Additionally, we will continue to incur significant costs associated with being a public company, including expenses related to services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maintaining compliance with the requirements of Nasdaq and the SEC, insurance and investor relations costs. If any of our current or future product candidates obtain U.S. regulatory approval, we expect that we would incur significantly increased expenses associated with building a sales and marketing team.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71"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color w:val="auto"/>
        </w:rPr>
        <w:t>Other income (expense) is primarily due to the recognition of foreign currency gains or losses as a result of exchange rate fluctuations on transactions denominated in a currency other than our functional currency.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80" w:type="dxa"/>
            <w:vAlign w:val="bottom"/>
            <w:vMerge w:val="restart"/>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31,856,252</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22,701,335</w:t>
            </w:r>
          </w:p>
        </w:tc>
        <w:tc>
          <w:tcPr>
            <w:tcW w:w="80" w:type="dxa"/>
            <w:vAlign w:val="bottom"/>
          </w:tcPr>
          <w:p>
            <w:pPr>
              <w:spacing w:after="0"/>
              <w:rPr>
                <w:sz w:val="19"/>
                <w:szCs w:val="19"/>
                <w:color w:val="auto"/>
              </w:rPr>
            </w:pPr>
          </w:p>
        </w:tc>
        <w:tc>
          <w:tcPr>
            <w:tcW w:w="56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9,154,917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28"/>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7,846,379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7,222,565</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623,814</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08"/>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(39,702,631)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(29,923,900)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(9,778,731)</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2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3,378,545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3,200,224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178,321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28"/>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200,471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201,899</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(36,123,615)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(26,725,104)</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(9,398,511)</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right="8560" w:firstLine="7"/>
        <w:spacing w:after="0" w:line="463" w:lineRule="auto"/>
        <w:tabs>
          <w:tab w:leader="none" w:pos="134" w:val="left"/>
        </w:tabs>
        <w:numPr>
          <w:ilvl w:val="0"/>
          <w:numId w:val="3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Percentage not meaningful Research and Development Expenses</w:t>
      </w:r>
    </w:p>
    <w:p>
      <w:pPr>
        <w:ind w:right="240"/>
        <w:spacing w:after="0" w:line="280" w:lineRule="auto"/>
        <w:rPr>
          <w:sz w:val="20"/>
          <w:szCs w:val="20"/>
          <w:color w:val="auto"/>
        </w:rPr>
      </w:pPr>
      <w:r>
        <w:rPr>
          <w:rFonts w:ascii="Times New Roman" w:cs="Times New Roman" w:eastAsia="Times New Roman" w:hAnsi="Times New Roman"/>
          <w:sz w:val="18"/>
          <w:szCs w:val="18"/>
          <w:color w:val="auto"/>
        </w:rPr>
        <w:t>Research and development expenses increased by approximately $9.2 million for the year ended December 31, 2025 as compared to 2024. The following table summarizes our research and development expenses for the year ended December 31, 2025 as compared to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8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CTIM-76</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6,843,564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5,581,896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1,261,668</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CT-95</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4,865,479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4,871,254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(5,775)</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CT-202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15,573,393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11,151,496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4,421,897</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Personnel-related costs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4,368,441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1,032,516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3,335,925</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research and development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205,375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64,173</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141,202</w:t>
            </w:r>
          </w:p>
        </w:tc>
        <w:tc>
          <w:tcPr>
            <w:tcW w:w="8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0" w:type="dxa"/>
            <w:vAlign w:val="bottom"/>
          </w:tcPr>
          <w:p>
            <w:pPr>
              <w:spacing w:after="0"/>
              <w:rPr>
                <w:sz w:val="1"/>
                <w:szCs w:val="1"/>
                <w:color w:val="auto"/>
              </w:rPr>
            </w:pPr>
          </w:p>
        </w:tc>
      </w:tr>
      <w:tr>
        <w:trPr>
          <w:trHeight w:val="208"/>
        </w:trPr>
        <w:tc>
          <w:tcPr>
            <w:tcW w:w="27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31,856,252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22,701,335</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9,154,917</w:t>
            </w:r>
          </w:p>
        </w:tc>
        <w:tc>
          <w:tcPr>
            <w:tcW w:w="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3"/>
        </w:trPr>
        <w:tc>
          <w:tcPr>
            <w:tcW w:w="2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CTIM-76 expenditures increased by $1.3 million, primarily due to an increase of $3.1 million in clinical costs as a result of continued progression of our ongoing Phase 1 clinical trial. This increase was partially offset by a decrease of $1.0 million in preclinical costs as a result of the completion of IND-enabling studies in early 2024 and a decrease of $0.8 million in contract manufacturing costs. CT-95 expense of $4.9 million for 2025 primarily represents $3.7 million in clinical costs and $1.2 million in preclinical, contract manufacturing, and diagnostic development expenses incurred. CT-95 expense of $4.9 million for 2024 primarily represents consideration paid of $3.75 million to acquire the asset from Link in July 2024 and approximately $1.1 million in other expenses, the majority of which was $0.6 million of clinical start up costs. CT-202 expense of $15.6 million for 2025 primarily represents $8.7 million in contract manufacturing costs, $4.7 million in preclinical expenses, and a $2.0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expense related to achieving a development milestone under the BioAtla License Agreement. CT-202 expense of $11.2 million for 2024 primarily represents the $11.0 million consideration paid under the BioAtla License Agreement entered into in September 2024. Personnel-related costs, which include salaries, benefits and stock-based compensation expense, increased by approximately $3.3 million, primarily due to higher headcount over the prior year as well as termination benefits incurred related to certain employee departures. Other research and development expense increased by approximately $0.1 million, due to allocated expenses as a result of higher headcount over the prior year.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1"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expenses increased by $0.6 million from $7.2 million for the year ended December 31, 2024 to $7.8 million for the year ended December 31, 2025. The increase was primarily driven by a $0.7 million increase in salaries and personnel-related costs, including share-based compensation, mainly due to higher headcount and compensation adjustments. The increase was partially offset by a decrease in professional fees of $0.1 million.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71"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Interest income increased by approximately $0.2 million for the year ended December 31, 2025 as compared to 2024, primarily due to additional interest earned from higher cash and cash equivalent balances following the Private Placement and other sales of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71"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Other income was $0.2 million for the year ended December 31, 2025 as compared to other expense of $1,400 in 2024, primarily due to foreign currency gains in 2025 as a result of exchange rate fluctuations on transactions denominated in a currency other than our functional currency.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0"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through December 31, 2025, we have funded our operations through the sale of common stock, warrants, convertible debt and convertible preferred stock. As of December 31, 2025, we had $66.0 million in cash and cash equivalents and an accumulated deficit of $130.9 million.</w:t>
      </w:r>
    </w:p>
    <w:p>
      <w:pPr>
        <w:spacing w:after="0" w:line="14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We expect our cash and cash equivalents at December 31, 2025 to fund the estimated duration of the Phase 1a dose escalation portions of our CTIM-76 and CT-95 trials, the estimated expenses to initiate patient enrollment in a first-in-human trial for CT-202, as well as our operations into mid-2027. We have based these estimates on assumptions that may prove to be imprecise, and we could utilize our available capital resources sooner than we expect.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73" w:lineRule="exact"/>
        <w:rPr>
          <w:sz w:val="20"/>
          <w:szCs w:val="20"/>
          <w:color w:val="auto"/>
        </w:rPr>
      </w:pPr>
    </w:p>
    <w:p>
      <w:pPr>
        <w:jc w:val="both"/>
        <w:ind w:right="380"/>
        <w:spacing w:after="0" w:line="264"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consist of research and development expenditures and various general and administrative expenses. Cash used to fund operating expenses is impacted by the timing of when we pay these expenses, as reflected in the change in our outstanding accounts payable, accrued expenses and prepaid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86" w:lineRule="exact"/>
        <w:rPr>
          <w:sz w:val="20"/>
          <w:szCs w:val="20"/>
          <w:color w:val="auto"/>
        </w:rPr>
      </w:pPr>
    </w:p>
    <w:p>
      <w:pPr>
        <w:ind w:left="660" w:right="320" w:hanging="330"/>
        <w:spacing w:after="0" w:line="28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and results of discovery, preclinical development, laboratory testing and clinical trials for our current and any future product candidates that we may pursue;</w:t>
      </w:r>
    </w:p>
    <w:p>
      <w:pPr>
        <w:spacing w:after="0" w:line="108" w:lineRule="exact"/>
        <w:rPr>
          <w:rFonts w:ascii="Times New Roman" w:cs="Times New Roman" w:eastAsia="Times New Roman" w:hAnsi="Times New Roman"/>
          <w:sz w:val="18"/>
          <w:szCs w:val="18"/>
          <w:color w:val="auto"/>
        </w:rPr>
      </w:pPr>
    </w:p>
    <w:p>
      <w:pPr>
        <w:ind w:left="660" w:right="800" w:hanging="330"/>
        <w:spacing w:after="0" w:line="28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current and any future product candidates for clinical trials and in preparation for regulatory approval and commercialization;</w:t>
      </w:r>
    </w:p>
    <w:p>
      <w:pPr>
        <w:spacing w:after="0" w:line="108" w:lineRule="exact"/>
        <w:rPr>
          <w:rFonts w:ascii="Times New Roman" w:cs="Times New Roman" w:eastAsia="Times New Roman" w:hAnsi="Times New Roman"/>
          <w:sz w:val="18"/>
          <w:szCs w:val="18"/>
          <w:color w:val="auto"/>
        </w:rPr>
      </w:pPr>
    </w:p>
    <w:p>
      <w:pPr>
        <w:ind w:left="660" w:right="160" w:hanging="330"/>
        <w:spacing w:after="0" w:line="28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collaborations or other arrangements with additional third parties in order to further develop our current and any future product candidates that we may pursue;</w:t>
      </w:r>
    </w:p>
    <w:p>
      <w:pPr>
        <w:spacing w:after="0" w:line="108" w:lineRule="exact"/>
        <w:rPr>
          <w:rFonts w:ascii="Times New Roman" w:cs="Times New Roman" w:eastAsia="Times New Roman" w:hAnsi="Times New Roman"/>
          <w:sz w:val="18"/>
          <w:szCs w:val="18"/>
          <w:color w:val="auto"/>
        </w:rPr>
      </w:pPr>
    </w:p>
    <w:p>
      <w:pPr>
        <w:ind w:left="660" w:right="720" w:hanging="330"/>
        <w:spacing w:after="0" w:line="28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additional product candidates or technologies;</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needed to attract and retain skilled personnel;</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scale up our clinical, regulatory and manufacturing capabilities;</w:t>
      </w:r>
    </w:p>
    <w:p>
      <w:pPr>
        <w:spacing w:after="0" w:line="169" w:lineRule="exact"/>
        <w:rPr>
          <w:rFonts w:ascii="Times New Roman" w:cs="Times New Roman" w:eastAsia="Times New Roman" w:hAnsi="Times New Roman"/>
          <w:sz w:val="18"/>
          <w:szCs w:val="18"/>
          <w:color w:val="auto"/>
        </w:rPr>
      </w:pPr>
    </w:p>
    <w:p>
      <w:pPr>
        <w:ind w:left="660" w:right="120" w:hanging="330"/>
        <w:spacing w:after="0" w:line="28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establishing sales, marketing, manufacturing and distribution capabilities, for our current and any future product candidates for which we receive regulatory approval; and</w:t>
      </w:r>
    </w:p>
    <w:p>
      <w:pPr>
        <w:spacing w:after="0" w:line="108" w:lineRule="exact"/>
        <w:rPr>
          <w:rFonts w:ascii="Times New Roman" w:cs="Times New Roman" w:eastAsia="Times New Roman" w:hAnsi="Times New Roman"/>
          <w:sz w:val="18"/>
          <w:szCs w:val="18"/>
          <w:color w:val="auto"/>
        </w:rPr>
      </w:pPr>
    </w:p>
    <w:p>
      <w:pPr>
        <w:ind w:left="660" w:right="360" w:hanging="330"/>
        <w:spacing w:after="0" w:line="28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current and any future product candidates, should any of our product candidates receive regulatory approval.</w:t>
      </w:r>
    </w:p>
    <w:p>
      <w:pPr>
        <w:spacing w:after="0" w:line="108"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color w:val="auto"/>
        </w:rPr>
        <w:t>We will need additional funds to meet our operational needs and capital requirements for clinical trials, other research and development expenditures, and general and administrative expenses. We currently have no credit facility or committed sources of capital.</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transactions and/or marketing, distribution or licensing arrangements.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transactions or marketing, or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9"/>
        </w:trPr>
        <w:tc>
          <w:tcPr>
            <w:tcW w:w="5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0"/>
        </w:trPr>
        <w:tc>
          <w:tcPr>
            <w:tcW w:w="5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3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(26,385,380)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(14,556,434)</w:t>
            </w:r>
          </w:p>
        </w:tc>
      </w:tr>
      <w:tr>
        <w:trPr>
          <w:trHeight w:val="252"/>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(2,033,948)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(14,757,316)</w:t>
            </w:r>
          </w:p>
        </w:tc>
      </w:tr>
      <w:tr>
        <w:trPr>
          <w:trHeight w:val="25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(15,268)</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109,293,747</w:t>
            </w:r>
          </w:p>
        </w:tc>
      </w:tr>
      <w:tr>
        <w:trPr>
          <w:trHeight w:val="20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(28,434,596)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79,979,997</w:t>
            </w: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2025, we used $26.4 million of cash in operating activities. Cash used in operating activities reflected our net loss of $36.1 million, partially offset by a net change in our operating assets and liabilities of $6.3 million, in-process research and development charges of $2.0 million, and non-cash share-based compensation of $1.3 million. The primary uses of cash were to fund our operations related to the development of our product candidates.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we used $14.6 million of cash in operating activities. Cash used in operating activities reflected our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$26.7 million and a net change in our operating assets and liabilities of $3.5 million, partially offset by in-process research and development charges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$14.8 million and non-cash share-based compensation of $0.8 million. The primary uses of cash were to fund our operations related to the development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and former product candidates.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1" w:lineRule="exact"/>
        <w:rPr>
          <w:sz w:val="20"/>
          <w:szCs w:val="20"/>
          <w:color w:val="auto"/>
        </w:rPr>
      </w:pPr>
    </w:p>
    <w:p>
      <w:pPr>
        <w:ind w:right="60" w:firstLine="439"/>
        <w:spacing w:after="0" w:line="280" w:lineRule="auto"/>
        <w:rPr>
          <w:sz w:val="20"/>
          <w:szCs w:val="20"/>
          <w:color w:val="auto"/>
        </w:rPr>
      </w:pPr>
      <w:r>
        <w:rPr>
          <w:rFonts w:ascii="Times New Roman" w:cs="Times New Roman" w:eastAsia="Times New Roman" w:hAnsi="Times New Roman"/>
          <w:sz w:val="18"/>
          <w:szCs w:val="18"/>
          <w:color w:val="auto"/>
        </w:rPr>
        <w:t>During the year ended December 31, 2025, cash used in investing activities was attributable to a payment of $2.0 million under the BioAtla License Agreement for the achievement of a development milestone for CT-202, and purchases of property and equipment totaling $34,000.</w:t>
      </w:r>
    </w:p>
    <w:p>
      <w:pPr>
        <w:spacing w:after="0" w:line="108" w:lineRule="exact"/>
        <w:rPr>
          <w:sz w:val="20"/>
          <w:szCs w:val="20"/>
          <w:color w:val="auto"/>
        </w:rPr>
      </w:pPr>
    </w:p>
    <w:p>
      <w:pPr>
        <w:jc w:val="both"/>
        <w:ind w:right="280"/>
        <w:spacing w:after="0" w:line="310" w:lineRule="auto"/>
        <w:rPr>
          <w:sz w:val="20"/>
          <w:szCs w:val="20"/>
          <w:color w:val="auto"/>
        </w:rPr>
      </w:pPr>
      <w:r>
        <w:rPr>
          <w:rFonts w:ascii="Times New Roman" w:cs="Times New Roman" w:eastAsia="Times New Roman" w:hAnsi="Times New Roman"/>
          <w:sz w:val="17"/>
          <w:szCs w:val="17"/>
          <w:color w:val="auto"/>
        </w:rPr>
        <w:t>During the year ended December 31, 2024, cash used in investing activities was primarily attributable to a payment of $11.0 million under the BioAtla License Agreement for the development of CT-202 and a one-time payment of $3.75 million made to Link to acquire the assets associated with CT-95.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1"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color w:val="auto"/>
        </w:rPr>
        <w:t>During the year ended December 31, 2025, we used approximately $15,000, of cash in financing activities related to the payment of remaining offering costs from the sale of ATM Shares under our ATM Sales Agreement.</w:t>
      </w:r>
    </w:p>
    <w:p>
      <w:pPr>
        <w:spacing w:after="0" w:line="10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During the year ended December 31, 2024, financing activities provided $109.3 million, consisting of net proceeds of $94.8 million from the sale of common stock and Pre-Funded Warrants in the Private Placement, as well as net proceeds of $14.5 million from the sale of common stock under our ATM Sales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off-balance sheet financing arrangements. In addition, we do not engage in trading activities involving non-exchange traded contracts. We therefore believe that we are not materially exposed to any financing, liquidity, market or credit risk that could arise if we had engaged in these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have been prepared in accordance with U.S. generally accepted accounting principles (“GAAP”). The preparation of these consolidated financial statements requires us to make estimates and judgments that affect the reported amounts of assets, liabilities, and expenses and the disclosure of contingent assets and liabilities in our consolidated financial statements. On an ongoing basis, we evaluate our estimates and judgments, including those related to prepaid/accrued research and development expenses and share-based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3 to our audited consolidated financial statements included elsewhere in this Form 10-K, we believe the following accounting policies are the most critical to the judgments and estimates used in the preparation of our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include external costs of outside vendors engaged to conduct clinical studies and other research and development activities, acquired in-process research and development, salaries, share-based compensation, and other operational costs related to our research and development activities.</w:t>
      </w:r>
    </w:p>
    <w:p>
      <w:pPr>
        <w:spacing w:after="0" w:line="1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Costs for certain development activities, such as the provision of services for product candidate development, clinical and preclinical development and related supply and manufacturing costs, are estimated based on an evaluation of the progress to completion of specific tasks using data such as patient enrollment, clinical site activations or information provided to us by our vendors with respect to their actual costs incurred. Payments for these activities are based on the terms of the individual arrangements, which may differ from the pattern of costs incurred, and are reflected in the consolidated financial statements as prepaid or accrued research and development expense, as the case may be. The estimates are adjusted to reflect the best information available at the time of the financial statement issuance. Although we do not expect our estimates to be materially different from amounts actually incurred, our estimate of the status and timing of services performed relative to the actual status and timing of services performed may vary.</w:t>
      </w:r>
    </w:p>
    <w:p>
      <w:pPr>
        <w:spacing w:after="0" w:line="13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We measure compensation expense for all share-based awards based on the estimated fair value of the share-based awards on the grant date. We use the Black-Scholes option pricing model to value our share-based awards. We recognize compensation expense on a straight-line basis over the requisite service period, which is generally the vesting period of the award. We have not issued awards for which vesting is subject to market or performance conditions.</w:t>
      </w:r>
    </w:p>
    <w:p>
      <w:pPr>
        <w:spacing w:after="0" w:line="10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The Black-Scholes option-pricing model requires the use of subjective assumptions that include the expected stock price volatility and the fair value of the underlying common stock on the date of grant. See Note 7 to our audited consolidated financial statements included elsewhere in this Form 10-K for information concerning certain of the specific assumptions we used in applying the Black-Scholes option pricing model to determine the estimated fair value of our awards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color w:val="auto"/>
        </w:rPr>
        <w:t>See Note 3 to our audited consolidated financial statements found elsewhere in this Form 10-K for a description of recent accounting pronouncements applicable to our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Other exemptions and reduced reporting requirements under the JOBS Act include, without limitation, the requirements for providing an auditor’s attestation report on our system of internal control over financial reporting pursuant to Section 404(b) of the Sarbanes-Oxley Act of 2002, an exemption from any requirement that may be adopted by the Public Company Accounting Oversight Board regarding mandatory audit firm rotation, and less extensive disclosure about our executive compensation arrangements. We will remain an emerging growth company until the earlier to occur of (a) the last day of the fiscal year (i) following October 19, 2026, (ii) in which we have total annual gross revenues of at least $1.235 billion or (iii) in which we are deemed to be a “large accelerated filer” under the rules of the SEC, which means that we have been required to file annual and quarterly reports under the Exchange Act for a period of at least 12 months and have filed at least one annual report pursuant to the Exchange Act and (b) either (i) the market value of our common stock that is held by non-affiliates exceeds $700.0 million as of the prior June 30th, or (ii) the date on which we have issued more than $1.0 billion in non-convertible debt during the prior three-year period.</w:t>
      </w:r>
    </w:p>
    <w:p>
      <w:pPr>
        <w:spacing w:after="0" w:line="13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will continue to be a smaller reporting company while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Context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8"/>
        </w:trPr>
        <w:tc>
          <w:tcPr>
            <w:tcW w:w="10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596)</w:t>
            </w:r>
          </w:p>
        </w:tc>
        <w:tc>
          <w:tcPr>
            <w:tcW w:w="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0000FF"/>
                <w:w w:val="99"/>
              </w:rPr>
              <w:t>72</w:t>
            </w:r>
          </w:p>
        </w:tc>
        <w:tc>
          <w:tcPr>
            <w:tcW w:w="100" w:type="dxa"/>
            <w:vAlign w:val="bottom"/>
          </w:tcPr>
          <w:p>
            <w:pPr>
              <w:spacing w:after="0"/>
              <w:rPr>
                <w:sz w:val="18"/>
                <w:szCs w:val="18"/>
                <w:color w:val="auto"/>
              </w:rPr>
            </w:pPr>
          </w:p>
        </w:tc>
      </w:tr>
      <w:tr>
        <w:trPr>
          <w:trHeight w:val="208"/>
        </w:trPr>
        <w:tc>
          <w:tcPr>
            <w:tcW w:w="42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64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73</w:t>
            </w:r>
          </w:p>
        </w:tc>
        <w:tc>
          <w:tcPr>
            <w:tcW w:w="100" w:type="dxa"/>
            <w:vAlign w:val="bottom"/>
          </w:tcPr>
          <w:p>
            <w:pPr>
              <w:spacing w:after="0"/>
              <w:rPr>
                <w:sz w:val="18"/>
                <w:szCs w:val="18"/>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10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0000FF"/>
                <w:w w:val="99"/>
              </w:rPr>
              <w:t>74</w:t>
            </w:r>
          </w:p>
        </w:tc>
        <w:tc>
          <w:tcPr>
            <w:tcW w:w="100" w:type="dxa"/>
            <w:vAlign w:val="bottom"/>
          </w:tcPr>
          <w:p>
            <w:pPr>
              <w:spacing w:after="0"/>
              <w:rPr>
                <w:sz w:val="18"/>
                <w:szCs w:val="18"/>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10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0000FF"/>
                <w:w w:val="99"/>
              </w:rPr>
              <w:t>75</w:t>
            </w:r>
          </w:p>
        </w:tc>
        <w:tc>
          <w:tcPr>
            <w:tcW w:w="100" w:type="dxa"/>
            <w:vAlign w:val="bottom"/>
          </w:tcPr>
          <w:p>
            <w:pPr>
              <w:spacing w:after="0"/>
              <w:rPr>
                <w:sz w:val="18"/>
                <w:szCs w:val="18"/>
                <w:color w:val="auto"/>
              </w:rPr>
            </w:pPr>
          </w:p>
        </w:tc>
      </w:tr>
      <w:tr>
        <w:trPr>
          <w:trHeight w:val="208"/>
        </w:trPr>
        <w:tc>
          <w:tcPr>
            <w:tcW w:w="43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c>
          <w:tcPr>
            <w:tcW w:w="100" w:type="dxa"/>
            <w:vAlign w:val="bottom"/>
          </w:tcPr>
          <w:p>
            <w:pPr>
              <w:spacing w:after="0"/>
              <w:rPr>
                <w:sz w:val="18"/>
                <w:szCs w:val="18"/>
                <w:color w:val="auto"/>
              </w:rPr>
            </w:pPr>
          </w:p>
        </w:tc>
      </w:tr>
      <w:tr>
        <w:trPr>
          <w:trHeight w:val="20"/>
        </w:trPr>
        <w:tc>
          <w:tcPr>
            <w:tcW w:w="2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10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0000FF"/>
                <w:w w:val="99"/>
              </w:rPr>
              <w:t>77</w:t>
            </w:r>
          </w:p>
        </w:tc>
        <w:tc>
          <w:tcPr>
            <w:tcW w:w="100" w:type="dxa"/>
            <w:vAlign w:val="bottom"/>
          </w:tcPr>
          <w:p>
            <w:pPr>
              <w:spacing w:after="0"/>
              <w:rPr>
                <w:sz w:val="18"/>
                <w:szCs w:val="18"/>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of Directors and Stockholders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Context Therapeutics Inc.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5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Context Therapeutics Inc. and Subsidiaries (the “Company”) as of December 31, 2025 and 2024, and the related consolidated statements of operations, changes in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from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CohnReznick LLP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January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Parsippany, New Jersey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Context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r>
      <w:tr>
        <w:trPr>
          <w:trHeight w:val="25"/>
        </w:trPr>
        <w:tc>
          <w:tcPr>
            <w:tcW w:w="8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8"/>
        </w:trPr>
        <w:tc>
          <w:tcPr>
            <w:tcW w:w="8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8"/>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65,995,228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94,429,824</w:t>
            </w:r>
          </w:p>
        </w:tc>
      </w:tr>
      <w:tr>
        <w:trPr>
          <w:trHeight w:val="228"/>
        </w:trPr>
        <w:tc>
          <w:tcPr>
            <w:tcW w:w="8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2,358,474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3,466,160</w:t>
            </w:r>
          </w:p>
        </w:tc>
      </w:tr>
      <w:tr>
        <w:trPr>
          <w:trHeight w:val="222"/>
        </w:trPr>
        <w:tc>
          <w:tcPr>
            <w:tcW w:w="8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68,353,702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97,895,984</w:t>
            </w:r>
          </w:p>
        </w:tc>
      </w:tr>
      <w:tr>
        <w:trPr>
          <w:trHeight w:val="228"/>
        </w:trPr>
        <w:tc>
          <w:tcPr>
            <w:tcW w:w="8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218,816</w:t>
            </w:r>
          </w:p>
        </w:tc>
      </w:tr>
      <w:tr>
        <w:trPr>
          <w:trHeight w:val="228"/>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w:t>
            </w:r>
          </w:p>
        </w:tc>
      </w:tr>
      <w:tr>
        <w:trPr>
          <w:trHeight w:val="222"/>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68,493,768</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98,126,759</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5"/>
        </w:trPr>
        <w:tc>
          <w:tcPr>
            <w:tcW w:w="80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8"/>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2,532,887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1,452,188</w:t>
            </w:r>
          </w:p>
        </w:tc>
      </w:tr>
      <w:tr>
        <w:trPr>
          <w:trHeight w:val="228"/>
        </w:trPr>
        <w:tc>
          <w:tcPr>
            <w:tcW w:w="8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5,375,090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1,188,929</w:t>
            </w:r>
          </w:p>
        </w:tc>
      </w:tr>
      <w:tr>
        <w:trPr>
          <w:trHeight w:val="228"/>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lease liability - current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107,316</w:t>
            </w:r>
          </w:p>
        </w:tc>
      </w:tr>
      <w:tr>
        <w:trPr>
          <w:trHeight w:val="222"/>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8,020,041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2,748,433</w:t>
            </w:r>
          </w:p>
        </w:tc>
      </w:tr>
      <w:tr>
        <w:trPr>
          <w:trHeight w:val="228"/>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112,064</w:t>
            </w:r>
          </w:p>
        </w:tc>
      </w:tr>
      <w:tr>
        <w:trPr>
          <w:trHeight w:val="222"/>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8,020,041</w:t>
            </w:r>
          </w:p>
        </w:tc>
        <w:tc>
          <w:tcPr>
            <w:tcW w:w="8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2,860,497</w:t>
            </w:r>
          </w:p>
        </w:tc>
      </w:tr>
      <w:tr>
        <w:trPr>
          <w:trHeight w:val="20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8"/>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or outstanding</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000" w:type="dxa"/>
            <w:vAlign w:val="bottom"/>
          </w:tcPr>
          <w:p>
            <w:pPr>
              <w:ind w:left="140"/>
              <w:spacing w:after="0" w:line="175" w:lineRule="exact"/>
              <w:rPr>
                <w:sz w:val="20"/>
                <w:szCs w:val="20"/>
                <w:color w:val="auto"/>
              </w:rPr>
            </w:pPr>
            <w:r>
              <w:rPr>
                <w:rFonts w:ascii="Times New Roman" w:cs="Times New Roman" w:eastAsia="Times New Roman" w:hAnsi="Times New Roman"/>
                <w:sz w:val="18"/>
                <w:szCs w:val="18"/>
                <w:color w:val="auto"/>
              </w:rPr>
              <w:t>Common stock—$0.001 par value; 200,000,000 shares authorized; 91,879,177 and 89,704,194 issued and</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4"/>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at December 31, 2025 and December 31, 2024, respectively</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0"/>
        </w:trPr>
        <w:tc>
          <w:tcPr>
            <w:tcW w:w="8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91,879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89,704</w:t>
            </w:r>
          </w:p>
        </w:tc>
      </w:tr>
      <w:tr>
        <w:trPr>
          <w:trHeight w:val="228"/>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191,285,157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189,956,252</w:t>
            </w:r>
          </w:p>
        </w:tc>
      </w:tr>
      <w:tr>
        <w:trPr>
          <w:trHeight w:val="228"/>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(130,903,309)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(94,779,694)</w:t>
            </w:r>
          </w:p>
        </w:tc>
      </w:tr>
      <w:tr>
        <w:trPr>
          <w:trHeight w:val="222"/>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60,473,727</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95,266,262</w:t>
            </w:r>
          </w:p>
        </w:tc>
      </w:tr>
      <w:tr>
        <w:trPr>
          <w:trHeight w:val="222"/>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68,493,768</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98,126,759</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Context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0"/>
        </w:trPr>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31,856,252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22,701,335</w:t>
            </w:r>
          </w:p>
        </w:tc>
        <w:tc>
          <w:tcPr>
            <w:tcW w:w="0" w:type="dxa"/>
            <w:vAlign w:val="bottom"/>
          </w:tcPr>
          <w:p>
            <w:pPr>
              <w:spacing w:after="0"/>
              <w:rPr>
                <w:sz w:val="1"/>
                <w:szCs w:val="1"/>
                <w:color w:val="auto"/>
              </w:rPr>
            </w:pPr>
          </w:p>
        </w:tc>
      </w:tr>
      <w:tr>
        <w:trPr>
          <w:trHeight w:val="228"/>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7,846,379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7,222,565</w:t>
            </w:r>
          </w:p>
        </w:tc>
        <w:tc>
          <w:tcPr>
            <w:tcW w:w="0" w:type="dxa"/>
            <w:vAlign w:val="bottom"/>
          </w:tcPr>
          <w:p>
            <w:pPr>
              <w:spacing w:after="0"/>
              <w:rPr>
                <w:sz w:val="1"/>
                <w:szCs w:val="1"/>
                <w:color w:val="auto"/>
              </w:rPr>
            </w:pPr>
          </w:p>
        </w:tc>
      </w:tr>
      <w:tr>
        <w:trPr>
          <w:trHeight w:val="222"/>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(39,702,631)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(29,923,900)</w:t>
            </w:r>
          </w:p>
        </w:tc>
        <w:tc>
          <w:tcPr>
            <w:tcW w:w="0" w:type="dxa"/>
            <w:vAlign w:val="bottom"/>
          </w:tcPr>
          <w:p>
            <w:pPr>
              <w:spacing w:after="0"/>
              <w:rPr>
                <w:sz w:val="1"/>
                <w:szCs w:val="1"/>
                <w:color w:val="auto"/>
              </w:rPr>
            </w:pPr>
          </w:p>
        </w:tc>
      </w:tr>
      <w:tr>
        <w:trPr>
          <w:trHeight w:val="22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3,378,545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3,200,224</w:t>
            </w:r>
          </w:p>
        </w:tc>
        <w:tc>
          <w:tcPr>
            <w:tcW w:w="0" w:type="dxa"/>
            <w:vAlign w:val="bottom"/>
          </w:tcPr>
          <w:p>
            <w:pPr>
              <w:spacing w:after="0"/>
              <w:rPr>
                <w:sz w:val="1"/>
                <w:szCs w:val="1"/>
                <w:color w:val="auto"/>
              </w:rPr>
            </w:pPr>
          </w:p>
        </w:tc>
      </w:tr>
      <w:tr>
        <w:trPr>
          <w:trHeight w:val="242"/>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200,471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188"/>
        </w:trPr>
        <w:tc>
          <w:tcPr>
            <w:tcW w:w="80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(36,123,615)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(26,725,104)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00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(0.38)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2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95,185,683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58,416,141</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Context Therapeutics Inc.</w:t>
      </w:r>
    </w:p>
    <w:p>
      <w:pPr>
        <w:spacing w:after="0" w:line="31"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860" w:type="dxa"/>
        <w:tblCellMar>
          <w:top w:w="0" w:type="dxa"/>
          <w:left w:w="0" w:type="dxa"/>
          <w:bottom w:w="0" w:type="dxa"/>
          <w:right w:w="0" w:type="dxa"/>
        </w:tblCellMar>
      </w:tblPr>
      <w:tr>
        <w:trPr>
          <w:trHeight w:val="126"/>
        </w:trPr>
        <w:tc>
          <w:tcPr>
            <w:tcW w:w="5220" w:type="dxa"/>
            <w:vAlign w:val="bottom"/>
          </w:tcPr>
          <w:p>
            <w:pPr>
              <w:spacing w:after="0"/>
              <w:rPr>
                <w:sz w:val="11"/>
                <w:szCs w:val="11"/>
                <w:color w:val="auto"/>
              </w:rPr>
            </w:pPr>
          </w:p>
        </w:tc>
        <w:tc>
          <w:tcPr>
            <w:tcW w:w="1520" w:type="dxa"/>
            <w:vAlign w:val="bottom"/>
            <w:gridSpan w:val="4"/>
          </w:tcPr>
          <w:p>
            <w:pPr>
              <w:ind w:left="3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54"/>
        </w:trPr>
        <w:tc>
          <w:tcPr>
            <w:tcW w:w="52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restart"/>
          </w:tcPr>
          <w:p>
            <w:pPr>
              <w:jc w:val="center"/>
              <w:ind w:right="180"/>
              <w:spacing w:after="0" w:line="107"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80" w:type="dxa"/>
            <w:vAlign w:val="bottom"/>
          </w:tcPr>
          <w:p>
            <w:pPr>
              <w:spacing w:after="0"/>
              <w:rPr>
                <w:sz w:val="4"/>
                <w:szCs w:val="4"/>
                <w:color w:val="auto"/>
              </w:rPr>
            </w:pPr>
          </w:p>
        </w:tc>
        <w:tc>
          <w:tcPr>
            <w:tcW w:w="940" w:type="dxa"/>
            <w:vAlign w:val="bottom"/>
            <w:gridSpan w:val="2"/>
            <w:vMerge w:val="restart"/>
          </w:tcPr>
          <w:p>
            <w:pPr>
              <w:ind w:left="80"/>
              <w:spacing w:after="0" w:line="107"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20" w:type="dxa"/>
            <w:vAlign w:val="bottom"/>
            <w:vMerge w:val="restart"/>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34"/>
        </w:trPr>
        <w:tc>
          <w:tcPr>
            <w:tcW w:w="5220" w:type="dxa"/>
            <w:vAlign w:val="bottom"/>
          </w:tcPr>
          <w:p>
            <w:pPr>
              <w:spacing w:after="0"/>
              <w:rPr>
                <w:sz w:val="2"/>
                <w:szCs w:val="2"/>
                <w:color w:val="auto"/>
              </w:rPr>
            </w:pP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52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rPr>
                <w:sz w:val="13"/>
                <w:szCs w:val="13"/>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202"/>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15,966,053</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7"/>
              </w:rPr>
              <w:t>$ 15,966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79,909,644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(68,054,590)</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w w:val="97"/>
              </w:rPr>
              <w:t>$ 11,871,020</w:t>
            </w:r>
          </w:p>
        </w:tc>
        <w:tc>
          <w:tcPr>
            <w:tcW w:w="0" w:type="dxa"/>
            <w:vAlign w:val="bottom"/>
          </w:tcPr>
          <w:p>
            <w:pPr>
              <w:spacing w:after="0"/>
              <w:rPr>
                <w:sz w:val="1"/>
                <w:szCs w:val="1"/>
                <w:color w:val="auto"/>
              </w:rPr>
            </w:pPr>
          </w:p>
        </w:tc>
      </w:tr>
      <w:tr>
        <w:trPr>
          <w:trHeight w:val="194"/>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841,867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841,867</w:t>
            </w:r>
          </w:p>
        </w:tc>
        <w:tc>
          <w:tcPr>
            <w:tcW w:w="0" w:type="dxa"/>
            <w:vAlign w:val="bottom"/>
          </w:tcPr>
          <w:p>
            <w:pPr>
              <w:spacing w:after="0"/>
              <w:rPr>
                <w:sz w:val="1"/>
                <w:szCs w:val="1"/>
                <w:color w:val="auto"/>
              </w:rPr>
            </w:pPr>
          </w:p>
        </w:tc>
      </w:tr>
      <w:tr>
        <w:trPr>
          <w:trHeight w:val="147"/>
        </w:trPr>
        <w:tc>
          <w:tcPr>
            <w:tcW w:w="52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Sale of common stock and prefunded warrants in private placement, net of offering costs</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59,032,259</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59,032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94,699,715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94,758,747</w:t>
            </w:r>
          </w:p>
        </w:tc>
        <w:tc>
          <w:tcPr>
            <w:tcW w:w="0" w:type="dxa"/>
            <w:vAlign w:val="bottom"/>
          </w:tcPr>
          <w:p>
            <w:pPr>
              <w:spacing w:after="0"/>
              <w:rPr>
                <w:sz w:val="1"/>
                <w:szCs w:val="1"/>
                <w:color w:val="auto"/>
              </w:rPr>
            </w:pPr>
          </w:p>
        </w:tc>
      </w:tr>
      <w:tr>
        <w:trPr>
          <w:trHeight w:val="19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$5,234,020</w:t>
            </w: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 of common stock from ATM facility, net of offering costs of $480,268</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14,705,882</w:t>
            </w:r>
          </w:p>
        </w:tc>
        <w:tc>
          <w:tcPr>
            <w:tcW w:w="80" w:type="dxa"/>
            <w:vAlign w:val="bottom"/>
          </w:tcPr>
          <w:p>
            <w:pPr>
              <w:spacing w:after="0"/>
              <w:rPr>
                <w:sz w:val="16"/>
                <w:szCs w:val="16"/>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14,706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14,505,026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14,519,732</w:t>
            </w: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(26,725,104)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(26,725,104)</w:t>
            </w:r>
          </w:p>
        </w:tc>
        <w:tc>
          <w:tcPr>
            <w:tcW w:w="0" w:type="dxa"/>
            <w:vAlign w:val="bottom"/>
          </w:tcPr>
          <w:p>
            <w:pPr>
              <w:spacing w:after="0"/>
              <w:rPr>
                <w:sz w:val="1"/>
                <w:szCs w:val="1"/>
                <w:color w:val="auto"/>
              </w:rPr>
            </w:pPr>
          </w:p>
        </w:tc>
      </w:tr>
      <w:tr>
        <w:trPr>
          <w:trHeight w:val="202"/>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89,704,194</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97"/>
              </w:rPr>
              <w:t>$ 89,704</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w w:val="99"/>
              </w:rPr>
              <w:t>189,956,252</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(94,779,694)</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w w:val="97"/>
              </w:rPr>
              <w:t>$ 95,266,262</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pre-funded warrants from private placement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2,174,983</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2,175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1,331,080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1,331,080</w:t>
            </w: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(36,123,615)</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(36,123,615)</w:t>
            </w:r>
          </w:p>
        </w:tc>
        <w:tc>
          <w:tcPr>
            <w:tcW w:w="0" w:type="dxa"/>
            <w:vAlign w:val="bottom"/>
          </w:tcPr>
          <w:p>
            <w:pPr>
              <w:spacing w:after="0"/>
              <w:rPr>
                <w:sz w:val="1"/>
                <w:szCs w:val="1"/>
                <w:color w:val="auto"/>
              </w:rPr>
            </w:pPr>
          </w:p>
        </w:tc>
      </w:tr>
      <w:tr>
        <w:trPr>
          <w:trHeight w:val="202"/>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91,879,177</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97"/>
              </w:rPr>
              <w:t>$ 91,879</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w w:val="99"/>
              </w:rPr>
              <w:t>191,285,157</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(130,903,309)</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w w:val="97"/>
              </w:rPr>
              <w:t>$ 60,473,727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400"/>
          </w:cols>
          <w:pgMar w:left="320" w:top="121" w:right="11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Context Therapeutics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8"/>
        </w:trPr>
        <w:tc>
          <w:tcPr>
            <w:tcW w:w="80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(36,123,615)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(26,725,104)</w:t>
            </w:r>
          </w:p>
        </w:tc>
      </w:tr>
      <w:tr>
        <w:trPr>
          <w:trHeight w:val="22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8"/>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in-process research and development charge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14,750,000</w:t>
            </w:r>
          </w:p>
        </w:tc>
      </w:tr>
      <w:tr>
        <w:trPr>
          <w:trHeight w:val="22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841,867</w:t>
            </w:r>
          </w:p>
        </w:tc>
      </w:tr>
      <w:tr>
        <w:trPr>
          <w:trHeight w:val="228"/>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w:t>
            </w:r>
          </w:p>
        </w:tc>
      </w:tr>
      <w:tr>
        <w:trPr>
          <w:trHeight w:val="22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 in the carrying amount of operating lease right-of-use asset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41,822</w:t>
            </w:r>
          </w:p>
        </w:tc>
      </w:tr>
      <w:tr>
        <w:trPr>
          <w:trHeight w:val="228"/>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8"/>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1,107,686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(1,868,776)</w:t>
            </w:r>
          </w:p>
        </w:tc>
      </w:tr>
      <w:tr>
        <w:trPr>
          <w:trHeight w:val="228"/>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1,095,967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(946,096)</w:t>
            </w:r>
          </w:p>
        </w:tc>
      </w:tr>
      <w:tr>
        <w:trPr>
          <w:trHeight w:val="228"/>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4,186,161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(619,770)</w:t>
            </w:r>
          </w:p>
        </w:tc>
      </w:tr>
      <w:tr>
        <w:trPr>
          <w:trHeight w:val="228"/>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(107,316)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(41,258)</w:t>
            </w:r>
          </w:p>
        </w:tc>
      </w:tr>
      <w:tr>
        <w:trPr>
          <w:trHeight w:val="222"/>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(26,385,380)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(14,556,434)</w:t>
            </w:r>
          </w:p>
        </w:tc>
      </w:tr>
      <w:tr>
        <w:trPr>
          <w:trHeight w:val="20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(14,750,000)</w:t>
            </w:r>
          </w:p>
        </w:tc>
      </w:tr>
      <w:tr>
        <w:trPr>
          <w:trHeight w:val="228"/>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(7,316)</w:t>
            </w:r>
          </w:p>
        </w:tc>
      </w:tr>
      <w:tr>
        <w:trPr>
          <w:trHeight w:val="222"/>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(2,033,948)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(14,757,316)</w:t>
            </w:r>
          </w:p>
        </w:tc>
      </w:tr>
      <w:tr>
        <w:trPr>
          <w:trHeight w:val="20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common stock and prefunded warrants in private placement, net of offering costs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94,758,747</w:t>
            </w:r>
          </w:p>
        </w:tc>
      </w:tr>
      <w:tr>
        <w:trPr>
          <w:trHeight w:val="228"/>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offering costs from the sale of common stock from ATM facility</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common stock from ATM facility, net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14,535,000</w:t>
            </w:r>
          </w:p>
        </w:tc>
      </w:tr>
      <w:tr>
        <w:trPr>
          <w:trHeight w:val="222"/>
        </w:trPr>
        <w:tc>
          <w:tcPr>
            <w:tcW w:w="8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(15,268)</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109,293,747</w:t>
            </w:r>
          </w:p>
        </w:tc>
      </w:tr>
      <w:tr>
        <w:trPr>
          <w:trHeight w:val="22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(28,434,596)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79,979,997</w:t>
            </w:r>
          </w:p>
        </w:tc>
      </w:tr>
      <w:tr>
        <w:trPr>
          <w:trHeight w:val="228"/>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94,429,824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14,449,827</w:t>
            </w:r>
          </w:p>
        </w:tc>
      </w:tr>
      <w:tr>
        <w:trPr>
          <w:trHeight w:val="247"/>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65,995,228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94,429,824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8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8"/>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Cashless exercise of prefunded warrants from private placement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7"/>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Unpaid offering costs in Accounts payable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202"/>
        </w:trPr>
        <w:tc>
          <w:tcPr>
            <w:tcW w:w="80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Right-of-use asset acquired under operating lease</w:t>
            </w:r>
          </w:p>
        </w:tc>
        <w:tc>
          <w:tcPr>
            <w:tcW w:w="340" w:type="dxa"/>
            <w:vAlign w:val="bottom"/>
            <w:tcBorders>
              <w:top w:val="single" w:sz="8" w:color="auto"/>
              <w:bottom w:val="single" w:sz="8" w:color="auto"/>
            </w:tcBorders>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260,638</w:t>
            </w: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CONTEXT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73"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color w:val="auto"/>
        </w:rPr>
        <w:t>Context Therapeutics Inc. (the “Company”) is a clinical-stage biopharmaceutical company advancing T cell engaging (“TCE”) bispecific antibodies (“bsAb”) for solid tumors. The Company’s product candidates include CTIM-76, a Claudin 6 (“CLDN6”) x CD3 TCE, CT-95, a Mesothelin (“MSLN”) x CD3 TCE, and CT-202, a Nectin cell adhesion protein 4 (“Nectin-4”) x CD3 TCE.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organized in April 2015 under the laws of the State of Delaware. The Company is headquartered in Philadelphia, Pennsylvania.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16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since inception and had an accumulated deficit of $130.9 million as of December 31, 2025. The Company anticipates incurring additional losses until such time, if ever, that it can generate significant revenues from its current or any future product candidates. The Company believes its cash and cash equivalents of $66.0 million as of December 31, 2025 are sufficient to fund its projected operations for a period of at least 12 months from the issuance date of these consolidated financial statements. Substantial additional funding will be needed by the Company to fund its operations and to commercially develop its current and any future product candidates.</w:t>
      </w:r>
    </w:p>
    <w:p>
      <w:pPr>
        <w:spacing w:after="0" w:line="21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Management plans to seek additional capital in the future through a combination of equity offerings, debt financings, collaborations, strategic transactions and/or marketing, distribution or licensing arrangements to carry out the Company’s planned development activities. If additional capital is not available when required, the Company may need to delay or curtail its operations until such funding is received. There is no assurance that such financing will be available when needed or on acceptable terms. Various internal and external factors will affect whether and when the Company’s current or any future product candidates become approved for marketing and successful commercialization. The regulatory approval and market acceptance of the Company’s current and any future product candidates, length of time and cost of developing and commercializing these product candidates and/or failure of them at any stage of the approval process will materially affect the Company’s financial condition and future operations.</w:t>
      </w:r>
    </w:p>
    <w:p>
      <w:pPr>
        <w:spacing w:after="0" w:line="215"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18"/>
          <w:szCs w:val="18"/>
          <w:color w:val="auto"/>
        </w:rPr>
        <w:t>The Company faces risks associated with companies whose products are in development. These risks include the need for additional financing to complete its research and development, achieving its research and development objectives, defending its intellectual property rights, recruiting and retaining skilled personnel, and dependence on key members of management, among others.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Basis of Presentation and Summary of Significant Accounting Policies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3"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and pursuant to the rules and regulations of the Securities and Exchange Commission (“SEC”). Any reference in these notes to applicable guidance is meant to refer to GAAP as found in the Accounting Standards Codification (“ASC”) and Accounting Standards Updates (“ASU”) of the Financial Accounting Standards Board (“FASB”).</w:t>
      </w:r>
    </w:p>
    <w:p>
      <w:pPr>
        <w:spacing w:after="0" w:line="20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Context Therapeutics LLC, Context Biopharma, Inc. and Context Ireland Ltd., the Company’s wholly-owned subsidiaries. All intercompany accounts and transactions have been eliminated in consolidation.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7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contingent liabilities at the date of the consolidated financial statements and the reported amounts of expenses during the reporting period. Actual results could differ from those estimates.</w:t>
      </w:r>
    </w:p>
    <w:p>
      <w:pPr>
        <w:spacing w:after="0" w:line="12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consolidated financial statements in the period they are determined to be necessary. Significant estimates and assumptions made in the accompanying consolidated financial statements include, but are not limited to, share-based compensation arrangements, the fair value of warrants, and in recording the prepayments, accruals and associated expense for research and development activities performed for the Company by third parties.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in assessing performance. The Company has one reportable segment which consists of the development of clinical and preclinical product candidates for the advancement of therapies to treat solid tumors. The Company’s chief operating decision maker (“CODM”) is the chief executive officer.</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accounting policies of the Company’s segment are the same as those described in the summary of significant accounting policies. The CODM assesses performance for the Company’s segment based on net loss, which is reported on the statements of operations as net loss. The measure of segment assets is reported on the balance sheet as total assets.</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To date, the Company has not generated any product revenue. The Company expects to continue to incur significant expenses and operating losses for the foreseeable future as it advances product candidates through all stages of development and clinical trials and, ultimately, seek regulatory approval. As such, the CODM uses cash forecast models in deciding how to deploy capital at the Company. Such cash forecast models are reviewed to assess the entity-wide operating results and performance. Net loss is used to monitor budget versus actual results. Monitoring budgeted versus actual results is used in assessing performance of the segment, along with cash forecast models. The CODM is regularly provided with net loss and consolidated assets, which are reported on the consolidated statements of operations and consolidated balance sheets,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significant expense categories regularly reviewed by the CODM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4"/>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80"/>
        </w:trPr>
        <w:tc>
          <w:tcPr>
            <w:tcW w:w="80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CTIM-76</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6,843,564</w:t>
            </w:r>
          </w:p>
        </w:tc>
        <w:tc>
          <w:tcPr>
            <w:tcW w:w="8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5,581,896</w:t>
            </w:r>
          </w:p>
        </w:tc>
        <w:tc>
          <w:tcPr>
            <w:tcW w:w="0" w:type="dxa"/>
            <w:vAlign w:val="bottom"/>
          </w:tcPr>
          <w:p>
            <w:pPr>
              <w:spacing w:after="0"/>
              <w:rPr>
                <w:sz w:val="1"/>
                <w:szCs w:val="1"/>
                <w:color w:val="auto"/>
              </w:rPr>
            </w:pPr>
          </w:p>
        </w:tc>
      </w:tr>
      <w:tr>
        <w:trPr>
          <w:trHeight w:val="228"/>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CT-95</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4,865,479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4,871,254</w:t>
            </w:r>
          </w:p>
        </w:tc>
        <w:tc>
          <w:tcPr>
            <w:tcW w:w="0" w:type="dxa"/>
            <w:vAlign w:val="bottom"/>
          </w:tcPr>
          <w:p>
            <w:pPr>
              <w:spacing w:after="0"/>
              <w:rPr>
                <w:sz w:val="1"/>
                <w:szCs w:val="1"/>
                <w:color w:val="auto"/>
              </w:rPr>
            </w:pPr>
          </w:p>
        </w:tc>
      </w:tr>
      <w:tr>
        <w:trPr>
          <w:trHeight w:val="228"/>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CT-202</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15,573,393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11,151,496</w:t>
            </w:r>
          </w:p>
        </w:tc>
        <w:tc>
          <w:tcPr>
            <w:tcW w:w="0" w:type="dxa"/>
            <w:vAlign w:val="bottom"/>
          </w:tcPr>
          <w:p>
            <w:pPr>
              <w:spacing w:after="0"/>
              <w:rPr>
                <w:sz w:val="1"/>
                <w:szCs w:val="1"/>
                <w:color w:val="auto"/>
              </w:rPr>
            </w:pPr>
          </w:p>
        </w:tc>
      </w:tr>
      <w:tr>
        <w:trPr>
          <w:trHeight w:val="228"/>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Personnel-related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7,292,550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3,760,439</w:t>
            </w:r>
          </w:p>
        </w:tc>
        <w:tc>
          <w:tcPr>
            <w:tcW w:w="0" w:type="dxa"/>
            <w:vAlign w:val="bottom"/>
          </w:tcPr>
          <w:p>
            <w:pPr>
              <w:spacing w:after="0"/>
              <w:rPr>
                <w:sz w:val="1"/>
                <w:szCs w:val="1"/>
                <w:color w:val="auto"/>
              </w:rPr>
            </w:pPr>
          </w:p>
        </w:tc>
      </w:tr>
      <w:tr>
        <w:trPr>
          <w:trHeight w:val="228"/>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2,125,628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2,249,207</w:t>
            </w:r>
          </w:p>
        </w:tc>
        <w:tc>
          <w:tcPr>
            <w:tcW w:w="0" w:type="dxa"/>
            <w:vAlign w:val="bottom"/>
          </w:tcPr>
          <w:p>
            <w:pPr>
              <w:spacing w:after="0"/>
              <w:rPr>
                <w:sz w:val="1"/>
                <w:szCs w:val="1"/>
                <w:color w:val="auto"/>
              </w:rPr>
            </w:pPr>
          </w:p>
        </w:tc>
      </w:tr>
      <w:tr>
        <w:trPr>
          <w:trHeight w:val="228"/>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1,331,080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841,867</w:t>
            </w:r>
          </w:p>
        </w:tc>
        <w:tc>
          <w:tcPr>
            <w:tcW w:w="0" w:type="dxa"/>
            <w:vAlign w:val="bottom"/>
          </w:tcPr>
          <w:p>
            <w:pPr>
              <w:spacing w:after="0"/>
              <w:rPr>
                <w:sz w:val="1"/>
                <w:szCs w:val="1"/>
                <w:color w:val="auto"/>
              </w:rPr>
            </w:pPr>
          </w:p>
        </w:tc>
      </w:tr>
      <w:tr>
        <w:trPr>
          <w:trHeight w:val="228"/>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segment items (a)</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1,670,937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1,467,741</w:t>
            </w: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(39,702,631)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(29,923,900)</w:t>
            </w:r>
          </w:p>
        </w:tc>
        <w:tc>
          <w:tcPr>
            <w:tcW w:w="0" w:type="dxa"/>
            <w:vAlign w:val="bottom"/>
          </w:tcPr>
          <w:p>
            <w:pPr>
              <w:spacing w:after="0"/>
              <w:rPr>
                <w:sz w:val="1"/>
                <w:szCs w:val="1"/>
                <w:color w:val="auto"/>
              </w:rPr>
            </w:pPr>
          </w:p>
        </w:tc>
      </w:tr>
      <w:tr>
        <w:trPr>
          <w:trHeight w:val="228"/>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3,378,545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3,200,224</w:t>
            </w:r>
          </w:p>
        </w:tc>
        <w:tc>
          <w:tcPr>
            <w:tcW w:w="0" w:type="dxa"/>
            <w:vAlign w:val="bottom"/>
          </w:tcPr>
          <w:p>
            <w:pPr>
              <w:spacing w:after="0"/>
              <w:rPr>
                <w:sz w:val="1"/>
                <w:szCs w:val="1"/>
                <w:color w:val="auto"/>
              </w:rPr>
            </w:pPr>
          </w:p>
        </w:tc>
      </w:tr>
      <w:tr>
        <w:trPr>
          <w:trHeight w:val="228"/>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200,471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0" w:type="dxa"/>
            <w:vAlign w:val="bottom"/>
          </w:tcPr>
          <w:p>
            <w:pPr>
              <w:spacing w:after="0"/>
              <w:rPr>
                <w:sz w:val="1"/>
                <w:szCs w:val="1"/>
                <w:color w:val="auto"/>
              </w:rPr>
            </w:pPr>
          </w:p>
        </w:tc>
      </w:tr>
      <w:tr>
        <w:trPr>
          <w:trHeight w:val="216"/>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and Net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(36,123,615)</w:t>
            </w:r>
          </w:p>
        </w:tc>
        <w:tc>
          <w:tcPr>
            <w:tcW w:w="8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(26,725,104)</w:t>
            </w:r>
          </w:p>
        </w:tc>
        <w:tc>
          <w:tcPr>
            <w:tcW w:w="0" w:type="dxa"/>
            <w:vAlign w:val="bottom"/>
          </w:tcPr>
          <w:p>
            <w:pPr>
              <w:spacing w:after="0"/>
              <w:rPr>
                <w:sz w:val="1"/>
                <w:szCs w:val="1"/>
                <w:color w:val="auto"/>
              </w:rPr>
            </w:pPr>
          </w:p>
        </w:tc>
      </w:tr>
      <w:tr>
        <w:trPr>
          <w:trHeight w:val="180"/>
        </w:trPr>
        <w:tc>
          <w:tcPr>
            <w:tcW w:w="8000" w:type="dxa"/>
            <w:vAlign w:val="bottom"/>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Other segment items included in Segment loss mainly includes board fees, insurance, facilities and information technology costs.</w:t>
      </w:r>
    </w:p>
    <w:p>
      <w:pPr>
        <w:spacing w:after="0" w:line="22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tracks outsourced development costs and other external research and development costs to specific product candidates on a program-by-program basis. However, it does not track internal research and development expenses on a program-by-program basis as they primarily relate to compensation, early research and other costs which are deployed across multiple projects under development.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and cash equivalents and accounts payable, approximate their fair values given their short-term nature.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3"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original maturities of three months or less when acquired to be cash equivalents. Cash equivalents consist of amounts invested in money market accounts. At December 31, 2025, the Company’s cash and cash equivalent balances exceeded federally insured limits by approximately $65.5 million.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6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 costs are recorded as a reduction of additional paid-in capital generated as a result of such offering. Should an in-process equity financing be abandoned, the deferred offering costs will be expensed immediately as a charge to operating expenses in the consolidated statements of operations. As of each of December 31, 2025 and December 31, 2024, there was $0.2 million of deferred offering costs included in prepaid expenses and other current assets.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3"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auto"/>
        </w:rPr>
        <w:t>Property and equipment consist of office equipment, furniture, and leasehold improvements and are recorded at cost. Property and equipment are depreciated on a straight-line basis over their estimated useful lives. Leasehold improvements are amortized over the shorter of their economic lives or the remaining lease term.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Balances recognized related to operating leases are included in operating lease right-of-use assets and operating lease liabilities in the consolidated balance sheets. Operating lease right-of-use assets and operating lease liabilities are recognized based on the present value of the future minimum lease payments over the lease term at commencement date. As the Company’s lease does not provide an implicit rate, the Company uses its incremental borrowing rate based on the information available at the commencement date in determining the present value of future payments. The Company recognizes rent expense on a straight-line basis over the lease period and accrues for rent expense incurred but not yet paid.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Costs</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Acquired in-process research and development (“IPR&amp;D”) expense consists of payments incurred in connection with the acquisition or licensing of products or technologies that do not meet the definition of a business under FASB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Payments for acquired IPR&amp;D as well as future product development milestones are initially treated as the acquisition of an asset but then immediately expensed as there is no future alternative use for the asset. These payments are reflected as a component of research and development expense as an investing activity outflow on the Company’s consolidated statements of cash flows due to the nature of the underlying acquisition of an asset. See Note 8 for further discussion.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73"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include external costs of outside vendors engaged to conduct clinical studies and other research and development activities, acquired IPR&amp;D, salaries, share-based compensation, and other operational costs related to the Company’s research and development activities.</w:t>
      </w:r>
    </w:p>
    <w:p>
      <w:pPr>
        <w:spacing w:after="0" w:line="12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Costs for certain development activities, such as the provision of services for product candidate development, clinical and preclinical development and related supply and manufacturing costs, are estimated based on an evaluation of the progress to completion of specific tasks using data such as patient enrollment, clinical site activations or information provided to the Company by its vendors with respect to their actual costs incurred. Payments for these activities are based on the terms of the individual arrangements, which may differ from the pattern of costs incurred, and are reflected in the consolidated financial statements as prepaid or accrued research and development expense, as the case may be. The estimates are adjusted to reflect the best information available at the time of the financial statement issuance. Although the Company does not expect its estimates to be materially different from amounts actually incurred, the Company's estimate of the status and timing of services performed relative to the actual status and timing of services performed may vary.</w:t>
      </w:r>
    </w:p>
    <w:p>
      <w:pPr>
        <w:spacing w:after="0" w:line="13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7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recorded as general and administrative expense and expensed as incurred since recoverability of such expenditures is uncertain.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measures and recognizes share-based compensation expense for both employee and non-employee awards based on the grant date fair value of the awards. The Company recognizes share-based compensation expense on a straight-line basis over the requisite service period of the awards, which is generally the vesting period. The Company recognizes forfeitures as they occur.</w:t>
      </w:r>
    </w:p>
    <w:p>
      <w:pPr>
        <w:spacing w:after="0" w:line="12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The Company classifies share-based compensation expense in its consolidated statements of operations in the same manner in which the award recipients’ payroll costs are classified or in which the award recipients’ service payments are classified.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The Company estimates the fair value of employee and non-employee stock awards as of the date of grant using the Black-Scholes option pricing model. The Company lacks Company-specific historical and implied volatility information. Therefore, management estimates the expected share price volatility based on the historical volatility of a publicly traded set of peer companies in addition to the Company's historical volatility information. Management expects to continue to do so until such time as it has adequate historical data regarding the volatility of its own publicly traded share price. The expected term of the Company’s stock awards has been determined utilizing the “simplified” method for awards that qualify as “plain-vanilla” stock awards. The risk-free interest rate is determined by reference to the yield curve of a zero-coupon U.S. Treasury bond on the date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3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To date, the Company has not taken any uncertain tax position or recorded any reserves, interest or penalties. Interest and penalties related to uncertain tax positions are included within the provision for income tax.</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7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including outstanding pre-funded warrants to purchase shares of common stock that were issued in the private placement transaction in May 2024 (Note 6). Diluted net loss per share of common stock includes the effect, if any, from the potential exercise or conversion of securities, such as preferred stock, warrants (excluding pre-funded warrants) and share-based awards,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w:t>
      </w:r>
    </w:p>
    <w:p>
      <w:pPr>
        <w:spacing w:after="0" w:line="185"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 average shares of common stock outstanding, as they would be anti-dilutive:</w:t>
      </w:r>
    </w:p>
    <w:p>
      <w:pPr>
        <w:spacing w:after="0" w:line="145"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660" w:type="dxa"/>
            <w:vAlign w:val="bottom"/>
            <w:tcBorders>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5,868,500</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3,273,615</w:t>
            </w:r>
          </w:p>
        </w:tc>
      </w:tr>
      <w:tr>
        <w:trPr>
          <w:trHeight w:val="22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5,860,000</w:t>
            </w:r>
          </w:p>
        </w:tc>
        <w:tc>
          <w:tcPr>
            <w:tcW w:w="1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5,860,000</w:t>
            </w:r>
          </w:p>
        </w:tc>
      </w:tr>
      <w:tr>
        <w:trPr>
          <w:trHeight w:val="247"/>
        </w:trPr>
        <w:tc>
          <w:tcPr>
            <w:tcW w:w="76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11,728,500</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9,133,615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5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expands the disclosures required for income taxes. This ASU is effective for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beginning after December 15, 2024, with early adoption permitted. The Company’s adoption of this pronouncement did not have a material effect on the Company’s disclosures.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but Not yet Adopted Accounting Pronouncements</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ASU 2024-03 requires additional disclosure of specific types of expenses included in the expense captions presented on the face of the income statement as well as disclosures about selling expenses. ASU 2024-03 is effective for fiscal years beginning after December 15, 2026, and interim periods beginning after December 15, 2027, with early adoption permitted. The requirements will be applied prospectively with the option for retrospective application. The Company is currently evaluating the impact that the adoption of ASU 2024-03 will have on its disclosures.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73"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The Company utilizes a valuation hierarchy that prioritizes fair value measurements based on the types of inputs used for the various valuation techniques related to its financial assets and financial liabilities. The three levels of inputs used to measure fair value are described as follows: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Unobservable inputs for which there is little or no market data, which require the reporting entity to develop its own assumptions.</w:t>
      </w:r>
    </w:p>
    <w:p>
      <w:pPr>
        <w:spacing w:after="0" w:line="169"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color w:val="auto"/>
        </w:rPr>
        <w:t>In accordance with the fair value hierarchy described above, the following table sets forth the Company’s assets and liabilities measured at fair value on a recurring basis: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80" w:type="dxa"/>
            <w:vAlign w:val="bottom"/>
          </w:tcPr>
          <w:p>
            <w:pPr>
              <w:spacing w:after="0"/>
              <w:rPr>
                <w:sz w:val="11"/>
                <w:szCs w:val="11"/>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220" w:type="dxa"/>
            <w:vAlign w:val="bottom"/>
          </w:tcPr>
          <w:p>
            <w:pPr>
              <w:spacing w:after="0"/>
              <w:rPr>
                <w:sz w:val="11"/>
                <w:szCs w:val="11"/>
                <w:color w:val="auto"/>
              </w:rPr>
            </w:pPr>
          </w:p>
        </w:tc>
        <w:tc>
          <w:tcPr>
            <w:tcW w:w="1620" w:type="dxa"/>
            <w:vAlign w:val="bottom"/>
            <w:vMerge w:val="restart"/>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34"/>
        </w:trPr>
        <w:tc>
          <w:tcPr>
            <w:tcW w:w="4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3"/>
                <w:szCs w:val="13"/>
                <w:b w:val="1"/>
                <w:bCs w:val="1"/>
                <w:color w:val="auto"/>
              </w:rPr>
              <w:t>Active Markets for</w:t>
            </w:r>
          </w:p>
        </w:tc>
        <w:tc>
          <w:tcPr>
            <w:tcW w:w="1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3"/>
                <w:szCs w:val="13"/>
                <w:b w:val="1"/>
                <w:bCs w:val="1"/>
                <w:color w:val="auto"/>
              </w:rPr>
              <w:t>Identical</w:t>
            </w:r>
          </w:p>
        </w:tc>
        <w:tc>
          <w:tcPr>
            <w:tcW w:w="180" w:type="dxa"/>
            <w:vAlign w:val="bottom"/>
          </w:tcPr>
          <w:p>
            <w:pPr>
              <w:spacing w:after="0"/>
              <w:rPr>
                <w:sz w:val="11"/>
                <w:szCs w:val="11"/>
                <w:color w:val="auto"/>
              </w:rPr>
            </w:pPr>
          </w:p>
        </w:tc>
        <w:tc>
          <w:tcPr>
            <w:tcW w:w="148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3"/>
                <w:szCs w:val="13"/>
                <w:b w:val="1"/>
                <w:bCs w:val="1"/>
                <w:color w:val="auto"/>
              </w:rPr>
              <w:t>Observable Inputs</w:t>
            </w:r>
          </w:p>
        </w:tc>
        <w:tc>
          <w:tcPr>
            <w:tcW w:w="220" w:type="dxa"/>
            <w:vAlign w:val="bottom"/>
          </w:tcPr>
          <w:p>
            <w:pPr>
              <w:spacing w:after="0"/>
              <w:rPr>
                <w:sz w:val="11"/>
                <w:szCs w:val="11"/>
                <w:color w:val="auto"/>
              </w:rPr>
            </w:pPr>
          </w:p>
        </w:tc>
        <w:tc>
          <w:tcPr>
            <w:tcW w:w="1620" w:type="dxa"/>
            <w:vAlign w:val="bottom"/>
          </w:tcPr>
          <w:p>
            <w:pPr>
              <w:jc w:val="center"/>
              <w:ind w:right="147"/>
              <w:spacing w:after="0" w:line="134" w:lineRule="exact"/>
              <w:rPr>
                <w:sz w:val="20"/>
                <w:szCs w:val="20"/>
                <w:color w:val="auto"/>
              </w:rPr>
            </w:pPr>
            <w:r>
              <w:rPr>
                <w:rFonts w:ascii="Times New Roman" w:cs="Times New Roman" w:eastAsia="Times New Roman" w:hAnsi="Times New Roman"/>
                <w:sz w:val="13"/>
                <w:szCs w:val="13"/>
                <w:b w:val="1"/>
                <w:bCs w:val="1"/>
                <w:color w:val="auto"/>
              </w:rPr>
              <w:t>Unobservable Inputs</w:t>
            </w:r>
          </w:p>
        </w:tc>
        <w:tc>
          <w:tcPr>
            <w:tcW w:w="0" w:type="dxa"/>
            <w:vAlign w:val="bottom"/>
          </w:tcPr>
          <w:p>
            <w:pPr>
              <w:spacing w:after="0"/>
              <w:rPr>
                <w:sz w:val="1"/>
                <w:szCs w:val="1"/>
                <w:color w:val="auto"/>
              </w:rPr>
            </w:pPr>
          </w:p>
        </w:tc>
      </w:tr>
      <w:tr>
        <w:trPr>
          <w:trHeight w:val="183"/>
        </w:trPr>
        <w:tc>
          <w:tcPr>
            <w:tcW w:w="4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Assets (Level 1)</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5"/>
                <w:szCs w:val="15"/>
                <w:color w:val="auto"/>
              </w:rPr>
            </w:pPr>
          </w:p>
        </w:tc>
        <w:tc>
          <w:tcPr>
            <w:tcW w:w="1620" w:type="dxa"/>
            <w:vAlign w:val="bottom"/>
          </w:tcPr>
          <w:p>
            <w:pPr>
              <w:jc w:val="center"/>
              <w:ind w:right="147"/>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214"/>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65,523,204</w:t>
            </w:r>
          </w:p>
        </w:tc>
        <w:tc>
          <w:tcPr>
            <w:tcW w:w="8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jc w:val="right"/>
              <w:ind w:right="28"/>
              <w:spacing w:after="0"/>
              <w:rPr>
                <w:sz w:val="20"/>
                <w:szCs w:val="20"/>
                <w:color w:val="auto"/>
              </w:rPr>
            </w:pPr>
            <w:r>
              <w:rPr>
                <w:rFonts w:ascii="Times New Roman" w:cs="Times New Roman" w:eastAsia="Times New Roman" w:hAnsi="Times New Roman"/>
                <w:sz w:val="18"/>
                <w:szCs w:val="18"/>
                <w:color w:val="auto"/>
              </w:rPr>
              <w:t>65,523,204</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vMerge w:val="restart"/>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4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(Money Market Accounts)</w:t>
            </w: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4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80" w:type="dxa"/>
            <w:vAlign w:val="bottom"/>
          </w:tcPr>
          <w:p>
            <w:pPr>
              <w:spacing w:after="0"/>
              <w:rPr>
                <w:sz w:val="11"/>
                <w:szCs w:val="11"/>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220" w:type="dxa"/>
            <w:vAlign w:val="bottom"/>
          </w:tcPr>
          <w:p>
            <w:pPr>
              <w:spacing w:after="0"/>
              <w:rPr>
                <w:sz w:val="11"/>
                <w:szCs w:val="11"/>
                <w:color w:val="auto"/>
              </w:rPr>
            </w:pPr>
          </w:p>
        </w:tc>
        <w:tc>
          <w:tcPr>
            <w:tcW w:w="1620" w:type="dxa"/>
            <w:vAlign w:val="bottom"/>
            <w:vMerge w:val="restart"/>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34"/>
        </w:trPr>
        <w:tc>
          <w:tcPr>
            <w:tcW w:w="4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3"/>
                <w:szCs w:val="13"/>
                <w:b w:val="1"/>
                <w:bCs w:val="1"/>
                <w:color w:val="auto"/>
              </w:rPr>
              <w:t>Active Markets for</w:t>
            </w:r>
          </w:p>
        </w:tc>
        <w:tc>
          <w:tcPr>
            <w:tcW w:w="1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3"/>
                <w:szCs w:val="13"/>
                <w:b w:val="1"/>
                <w:bCs w:val="1"/>
                <w:color w:val="auto"/>
              </w:rPr>
              <w:t>Identical</w:t>
            </w:r>
          </w:p>
        </w:tc>
        <w:tc>
          <w:tcPr>
            <w:tcW w:w="180" w:type="dxa"/>
            <w:vAlign w:val="bottom"/>
          </w:tcPr>
          <w:p>
            <w:pPr>
              <w:spacing w:after="0"/>
              <w:rPr>
                <w:sz w:val="11"/>
                <w:szCs w:val="11"/>
                <w:color w:val="auto"/>
              </w:rPr>
            </w:pPr>
          </w:p>
        </w:tc>
        <w:tc>
          <w:tcPr>
            <w:tcW w:w="148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3"/>
                <w:szCs w:val="13"/>
                <w:b w:val="1"/>
                <w:bCs w:val="1"/>
                <w:color w:val="auto"/>
              </w:rPr>
              <w:t>Observable Inputs</w:t>
            </w:r>
          </w:p>
        </w:tc>
        <w:tc>
          <w:tcPr>
            <w:tcW w:w="220" w:type="dxa"/>
            <w:vAlign w:val="bottom"/>
          </w:tcPr>
          <w:p>
            <w:pPr>
              <w:spacing w:after="0"/>
              <w:rPr>
                <w:sz w:val="11"/>
                <w:szCs w:val="11"/>
                <w:color w:val="auto"/>
              </w:rPr>
            </w:pPr>
          </w:p>
        </w:tc>
        <w:tc>
          <w:tcPr>
            <w:tcW w:w="1620" w:type="dxa"/>
            <w:vAlign w:val="bottom"/>
          </w:tcPr>
          <w:p>
            <w:pPr>
              <w:jc w:val="center"/>
              <w:ind w:right="147"/>
              <w:spacing w:after="0" w:line="134" w:lineRule="exact"/>
              <w:rPr>
                <w:sz w:val="20"/>
                <w:szCs w:val="20"/>
                <w:color w:val="auto"/>
              </w:rPr>
            </w:pPr>
            <w:r>
              <w:rPr>
                <w:rFonts w:ascii="Times New Roman" w:cs="Times New Roman" w:eastAsia="Times New Roman" w:hAnsi="Times New Roman"/>
                <w:sz w:val="13"/>
                <w:szCs w:val="13"/>
                <w:b w:val="1"/>
                <w:bCs w:val="1"/>
                <w:color w:val="auto"/>
              </w:rPr>
              <w:t>Unobservable Inputs</w:t>
            </w:r>
          </w:p>
        </w:tc>
        <w:tc>
          <w:tcPr>
            <w:tcW w:w="0" w:type="dxa"/>
            <w:vAlign w:val="bottom"/>
          </w:tcPr>
          <w:p>
            <w:pPr>
              <w:spacing w:after="0"/>
              <w:rPr>
                <w:sz w:val="1"/>
                <w:szCs w:val="1"/>
                <w:color w:val="auto"/>
              </w:rPr>
            </w:pPr>
          </w:p>
        </w:tc>
      </w:tr>
      <w:tr>
        <w:trPr>
          <w:trHeight w:val="183"/>
        </w:trPr>
        <w:tc>
          <w:tcPr>
            <w:tcW w:w="4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Assets (Level 1)</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5"/>
                <w:szCs w:val="15"/>
                <w:color w:val="auto"/>
              </w:rPr>
            </w:pPr>
          </w:p>
        </w:tc>
        <w:tc>
          <w:tcPr>
            <w:tcW w:w="1620" w:type="dxa"/>
            <w:vAlign w:val="bottom"/>
          </w:tcPr>
          <w:p>
            <w:pPr>
              <w:jc w:val="center"/>
              <w:ind w:right="147"/>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214"/>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(Money Market Accounts)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93,949,553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93,949,553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Pr>
          <w:p>
            <w:pPr>
              <w:spacing w:after="0"/>
              <w:rPr>
                <w:sz w:val="16"/>
                <w:szCs w:val="16"/>
                <w:color w:val="auto"/>
              </w:rPr>
            </w:pPr>
          </w:p>
        </w:tc>
      </w:tr>
      <w:tr>
        <w:trPr>
          <w:trHeight w:val="25"/>
        </w:trPr>
        <w:tc>
          <w:tcPr>
            <w:tcW w:w="7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8"/>
        </w:trPr>
        <w:tc>
          <w:tcPr>
            <w:tcW w:w="71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1,384,430</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891,917</w:t>
            </w: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3,913,168</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229,908</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38,524</w:t>
            </w: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17,325</w:t>
            </w:r>
          </w:p>
        </w:tc>
      </w:tr>
      <w:tr>
        <w:trPr>
          <w:trHeight w:val="228"/>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38,968</w:t>
            </w:r>
          </w:p>
        </w:tc>
        <w:tc>
          <w:tcPr>
            <w:tcW w:w="3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49,779</w:t>
            </w:r>
          </w:p>
        </w:tc>
      </w:tr>
      <w:tr>
        <w:trPr>
          <w:trHeight w:val="247"/>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5,375,090</w:t>
            </w: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1,188,929</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to Authorized Shares</w:t>
      </w:r>
    </w:p>
    <w:p>
      <w:pPr>
        <w:spacing w:after="0" w:line="17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On September 17, 2024, the Company held a Special Meeting of Stockholders (the “Special Meeting”). At the Special Meeting, the Company’s stockholders approved, among other things, an amendment to the Company’s Amended and Restated Certificate of Incorporation to increase the number of authorized shares of common stock from 100,000,000 to 200,000,000.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7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On May 1, 2024, the Company entered into a securities purchase agreement (the “Purchase Agreement”) for the private placement (the “Private Placement”) of (i) 59,032,259 shares (the “PIPE Shares”) of the Company’s common stock at a purchase price of $1.55 per PIPE Share, and (ii) pre-funded warrants (the “Pre-Funded Warrants”) to purchase 5,482,741 shares of common stock at a purchase price of $1.549 per Pre-Funded Warrant. The Pre-Funded Warrants have an exercise price of $0.001 per share of common stock, are immediately exercisable and remain exercisable until exercised in full. During the year ended December 31, 2025, 2,178,200 Pre-Funded Warrants were exercised on a cashless basis, resulting in the issuance of 2,174,983 shares of common stock. As of December 31, 2025, 3,304,541 Pre-Funded Warrants remained outstanding. The aggregate gross proceeds for the Private Placement were approximately $100 million, before deducting offering expenses of approximately $5.2 million, and the Private Placement closed on May 6,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Facility</w:t>
      </w:r>
    </w:p>
    <w:p>
      <w:pPr>
        <w:spacing w:after="0" w:line="173"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On December 2, 2024, the Company entered into a Sales Agreement (the “ATM Sales Agreement”) with Leerink Partners LLC (the “Agent”). Pursuant to the terms of the ATM Sales Agreement, the Company may offer and sell shares of the Company’s common stock (the “ATM Shares”), having an aggregate offering amount of up to $75.0 million from time to time through the Agent. Sales of the ATM Shares may be made in sales deemed to be an “at-the-market offering” as defined in Rule 415 under the Securities Act of 1933, as amended. On December 23, 2024, the Company sold 14,705,882 shares of its common stock under the ATM Sales Agreement for net proceeds of approximately $14.5 million. On October 24, 2025, the Company entered into Amendment No. 1 to Sales Agreement (the “Amendment”, and together with the ATM Sales Agreement, the “Amended ATM Sales Agreement”) to provide for an increase in the aggregate offering amount under the Amended ATM Sales Agreement, such that following the filing of a new prospectus supplement with respect to the ATM Shares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18"/>
          <w:szCs w:val="18"/>
          <w:color w:val="auto"/>
        </w:rPr>
        <w:t>October 24, 2025, the Company may offer and sell ATM Shares having an aggregate offering price of up to $75.0 million, exclusive of ATM Shares previously sold in December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for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the Company had the following warrants outstanding to acquire common stock: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60" w:type="dxa"/>
            <w:vAlign w:val="bottom"/>
          </w:tcPr>
          <w:p>
            <w:pPr>
              <w:spacing w:after="0"/>
              <w:rPr>
                <w:sz w:val="16"/>
                <w:szCs w:val="16"/>
                <w:color w:val="auto"/>
              </w:rPr>
            </w:pPr>
          </w:p>
        </w:tc>
        <w:tc>
          <w:tcPr>
            <w:tcW w:w="15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dates</w:t>
            </w:r>
          </w:p>
        </w:tc>
      </w:tr>
      <w:tr>
        <w:trPr>
          <w:trHeight w:val="25"/>
        </w:trPr>
        <w:tc>
          <w:tcPr>
            <w:tcW w:w="53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2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in connection with 2021 initial public offering</w:t>
            </w:r>
          </w:p>
        </w:tc>
        <w:tc>
          <w:tcPr>
            <w:tcW w:w="1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2026</w:t>
            </w:r>
          </w:p>
        </w:tc>
      </w:tr>
      <w:tr>
        <w:trPr>
          <w:trHeight w:val="22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in connection with 2021 private placement</w:t>
            </w: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5,250,000</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2027</w:t>
            </w:r>
          </w:p>
        </w:tc>
      </w:tr>
      <w:tr>
        <w:trPr>
          <w:trHeight w:val="22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in 2022 for consulting services</w:t>
            </w:r>
          </w:p>
        </w:tc>
        <w:tc>
          <w:tcPr>
            <w:tcW w:w="15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360,000</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2027</w:t>
            </w:r>
          </w:p>
        </w:tc>
      </w:tr>
      <w:tr>
        <w:trPr>
          <w:trHeight w:val="228"/>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Issued in connection with 2024 private placement</w:t>
            </w:r>
          </w:p>
        </w:tc>
        <w:tc>
          <w:tcPr>
            <w:tcW w:w="1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3,304,541</w:t>
            </w:r>
          </w:p>
        </w:tc>
        <w:tc>
          <w:tcPr>
            <w:tcW w:w="32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0.001</w:t>
            </w:r>
          </w:p>
        </w:tc>
        <w:tc>
          <w:tcPr>
            <w:tcW w:w="10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No expiration</w:t>
            </w:r>
          </w:p>
        </w:tc>
      </w:tr>
      <w:tr>
        <w:trPr>
          <w:trHeight w:val="247"/>
        </w:trPr>
        <w:tc>
          <w:tcPr>
            <w:tcW w:w="5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9,164,541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Share-Based Compensation</w:t>
      </w:r>
    </w:p>
    <w:p>
      <w:pPr>
        <w:spacing w:after="0" w:line="173"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color w:val="auto"/>
        </w:rPr>
        <w:t>In April 2021, the Company adopted the 2021 Long-Term Performance Incentive Plan (“2021 Incentive Plan”). Under the 2021 Incentive Plan, the Company can grant stock options, stock appreciation rights, restricted stock, restricted stock units (“RSUs”) and stock grants. On its initial effective date, the 2021 Incentive Plan allowed for the issuance of up to 1,266,092 shares of common stock (the “Share Limit”). The Share Limit automatically increases on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each year, during the term of the 2021 Incentive Plan, commencing on January 1 of the year following the year in which the effective date occurs, in an amount equal to four percent (4%) of the total number of shares of the Company’s common stock outstanding on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the preceding calendar year; provided that the board of directors may determine that there will be no such increase or a smaller increase for any particular year. As of December 31, 2025, 1,322,222 shares remained available for future grants.</w:t>
      </w:r>
    </w:p>
    <w:p>
      <w:pPr>
        <w:spacing w:after="0" w:line="148" w:lineRule="exact"/>
        <w:rPr>
          <w:sz w:val="20"/>
          <w:szCs w:val="20"/>
          <w:color w:val="auto"/>
        </w:rPr>
      </w:pPr>
    </w:p>
    <w:p>
      <w:pPr>
        <w:jc w:val="both"/>
        <w:ind w:right="420"/>
        <w:spacing w:after="0" w:line="264" w:lineRule="auto"/>
        <w:rPr>
          <w:sz w:val="20"/>
          <w:szCs w:val="20"/>
          <w:color w:val="auto"/>
        </w:rPr>
      </w:pPr>
      <w:r>
        <w:rPr>
          <w:rFonts w:ascii="Times New Roman" w:cs="Times New Roman" w:eastAsia="Times New Roman" w:hAnsi="Times New Roman"/>
          <w:sz w:val="18"/>
          <w:szCs w:val="18"/>
          <w:color w:val="auto"/>
        </w:rPr>
        <w:t>In addition, from time to time, the Company makes inducement grants of stock options to new hires, which awards are made pursuant to the Nasdaq’s inducement grant exception to the shareholder approval requirement for grants of equity compensation. During the year ended December 31, 2025, the Company granted inducement stock options covering 389,000 shares of the Company’s common stock to new employees.</w:t>
      </w:r>
    </w:p>
    <w:p>
      <w:pPr>
        <w:spacing w:after="0" w:line="123" w:lineRule="exact"/>
        <w:rPr>
          <w:sz w:val="20"/>
          <w:szCs w:val="20"/>
          <w:color w:val="auto"/>
        </w:rPr>
      </w:pPr>
    </w:p>
    <w:p>
      <w:pPr>
        <w:jc w:val="both"/>
        <w:ind w:right="320"/>
        <w:spacing w:after="0" w:line="264" w:lineRule="auto"/>
        <w:rPr>
          <w:sz w:val="20"/>
          <w:szCs w:val="20"/>
          <w:color w:val="auto"/>
        </w:rPr>
      </w:pPr>
      <w:r>
        <w:rPr>
          <w:rFonts w:ascii="Times New Roman" w:cs="Times New Roman" w:eastAsia="Times New Roman" w:hAnsi="Times New Roman"/>
          <w:sz w:val="18"/>
          <w:szCs w:val="18"/>
          <w:color w:val="auto"/>
        </w:rPr>
        <w:t>Share-based awards generally vest over a period of one year to four years, and share-based awards that lapse or are forfeited are available to be granted again. The contractual life of all share-based awards is 10 years. The expiration dates of the outstanding share-based awards range from January 2028 to October 2035.</w:t>
      </w:r>
    </w:p>
    <w:p>
      <w:pPr>
        <w:spacing w:after="0" w:line="123"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color w:val="auto"/>
        </w:rPr>
        <w:t>The Company measures share-based awards at their grant-date fair value and records compensation expense on a straight-line basis over the service period of the awards. Share-based compensation is allocated to employees and consultants based on their respective departments. All board of directors’ compensation is charged to general and administrative expense.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related to the issuance of stock options was as follows for the years ended December 31, 2025 and 2024:</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2"/>
        </w:trPr>
        <w:tc>
          <w:tcPr>
            <w:tcW w:w="73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2"/>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61,121</w:t>
            </w:r>
          </w:p>
        </w:tc>
      </w:tr>
      <w:tr>
        <w:trPr>
          <w:trHeight w:val="228"/>
        </w:trPr>
        <w:tc>
          <w:tcPr>
            <w:tcW w:w="7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1,095,301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780,746</w:t>
            </w:r>
          </w:p>
        </w:tc>
      </w:tr>
      <w:tr>
        <w:trPr>
          <w:trHeight w:val="247"/>
        </w:trPr>
        <w:tc>
          <w:tcPr>
            <w:tcW w:w="7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841,867</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The weighted average assumptions used in the Black-Scholes option pricing model to determine the fair value of stock option awards granted during 2025 and 2024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6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111.98%</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95.54%</w:t>
            </w:r>
          </w:p>
        </w:tc>
      </w:tr>
      <w:tr>
        <w:trPr>
          <w:trHeight w:val="22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5.94</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w:t>
            </w: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4.13%</w:t>
            </w:r>
          </w:p>
        </w:tc>
      </w:tr>
      <w:tr>
        <w:trPr>
          <w:trHeight w:val="234"/>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32"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As the Company began trading publicly in October 2021, there is a lack of Company-specific historical and implied volatility information. Therefore, it estimates its expected stock volatility based on the historical volatility of a publicly traded set of peer companies in addition to the Company's historical volatility information. Additionally, due to an insufficient history with respect to stock option activity and post-vesting cancellations, the expected term assumption for employee grants is based on a permitted simplified method, which is based on the vesting period and contractual term for each tranche of awards. The mid-point between the weighted-average vesting term and the expiration date is used as the expected term under this method. The risk-free interest rate is determined by reference to the U.S. Treasury yield curve in effect for time periods approximately equal to the expected term of the award. Expected dividend yield is zero based on the fact that the Company has never paid cash dividends and does not expect to pay any cash dividends in the foreseeable future.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share-based award activity for the periods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restart"/>
          </w:tcPr>
          <w:p>
            <w:pPr>
              <w:jc w:val="center"/>
              <w:ind w:left="34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36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040" w:type="dxa"/>
            <w:vAlign w:val="bottom"/>
          </w:tcPr>
          <w:p>
            <w:pPr>
              <w:jc w:val="center"/>
              <w:ind w:left="345"/>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3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3"/>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2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13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040" w:type="dxa"/>
            <w:vAlign w:val="bottom"/>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6"/>
                <w:szCs w:val="16"/>
                <w:color w:val="auto"/>
              </w:rPr>
            </w:pPr>
          </w:p>
        </w:tc>
        <w:tc>
          <w:tcPr>
            <w:tcW w:w="13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3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3,273,615</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4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176,045</w:t>
            </w:r>
          </w:p>
        </w:tc>
        <w:tc>
          <w:tcPr>
            <w:tcW w:w="0" w:type="dxa"/>
            <w:vAlign w:val="bottom"/>
          </w:tcPr>
          <w:p>
            <w:pPr>
              <w:spacing w:after="0"/>
              <w:rPr>
                <w:sz w:val="1"/>
                <w:szCs w:val="1"/>
                <w:color w:val="auto"/>
              </w:rPr>
            </w:pPr>
          </w:p>
        </w:tc>
      </w:tr>
      <w:tr>
        <w:trPr>
          <w:trHeight w:val="228"/>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3,284,660</w:t>
            </w:r>
          </w:p>
        </w:tc>
        <w:tc>
          <w:tcPr>
            <w:tcW w:w="1120" w:type="dxa"/>
            <w:vAlign w:val="bottom"/>
            <w:gridSpan w:val="2"/>
          </w:tcPr>
          <w:p>
            <w:pPr>
              <w:jc w:val="right"/>
              <w:ind w:right="84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(689,775)</w:t>
            </w:r>
          </w:p>
        </w:tc>
        <w:tc>
          <w:tcPr>
            <w:tcW w:w="1120" w:type="dxa"/>
            <w:vAlign w:val="bottom"/>
            <w:gridSpan w:val="2"/>
            <w:shd w:val="clear" w:color="auto" w:fill="CCEEFF"/>
          </w:tcPr>
          <w:p>
            <w:pPr>
              <w:jc w:val="right"/>
              <w:ind w:right="84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5,868,500</w:t>
            </w:r>
          </w:p>
        </w:tc>
        <w:tc>
          <w:tcPr>
            <w:tcW w:w="1120" w:type="dxa"/>
            <w:vAlign w:val="bottom"/>
            <w:tcBorders>
              <w:bottom w:val="single" w:sz="8" w:color="CCEEFF"/>
            </w:tcBorders>
            <w:gridSpan w:val="2"/>
          </w:tcPr>
          <w:p>
            <w:pPr>
              <w:jc w:val="right"/>
              <w:ind w:right="84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2,941,679</w:t>
            </w:r>
          </w:p>
        </w:tc>
        <w:tc>
          <w:tcPr>
            <w:tcW w:w="0" w:type="dxa"/>
            <w:vAlign w:val="bottom"/>
          </w:tcPr>
          <w:p>
            <w:pPr>
              <w:spacing w:after="0"/>
              <w:rPr>
                <w:sz w:val="1"/>
                <w:szCs w:val="1"/>
                <w:color w:val="auto"/>
              </w:rPr>
            </w:pPr>
          </w:p>
        </w:tc>
      </w:tr>
      <w:tr>
        <w:trPr>
          <w:trHeight w:val="247"/>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December 31, 2025</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2,144,441</w:t>
            </w:r>
          </w:p>
        </w:tc>
        <w:tc>
          <w:tcPr>
            <w:tcW w:w="1120" w:type="dxa"/>
            <w:vAlign w:val="bottom"/>
            <w:tcBorders>
              <w:bottom w:val="single" w:sz="8" w:color="CCEEFF"/>
            </w:tcBorders>
            <w:gridSpan w:val="2"/>
            <w:shd w:val="clear" w:color="auto" w:fill="CCEEFF"/>
          </w:tcPr>
          <w:p>
            <w:pPr>
              <w:jc w:val="right"/>
              <w:ind w:right="84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512,287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2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ind w:right="15"/>
              <w:spacing w:after="0" w:line="202" w:lineRule="exact"/>
              <w:rPr>
                <w:sz w:val="20"/>
                <w:szCs w:val="20"/>
                <w:color w:val="auto"/>
              </w:rPr>
            </w:pPr>
            <w:r>
              <w:rPr>
                <w:rFonts w:ascii="Times New Roman" w:cs="Times New Roman" w:eastAsia="Times New Roman" w:hAnsi="Times New Roman"/>
                <w:sz w:val="18"/>
                <w:szCs w:val="18"/>
                <w:color w:val="auto"/>
              </w:rPr>
              <w:t>5,868,500</w:t>
            </w:r>
          </w:p>
        </w:tc>
        <w:tc>
          <w:tcPr>
            <w:tcW w:w="1120" w:type="dxa"/>
            <w:vAlign w:val="bottom"/>
            <w:gridSpan w:val="2"/>
          </w:tcPr>
          <w:p>
            <w:pPr>
              <w:jc w:val="right"/>
              <w:ind w:right="845"/>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7"/>
                <w:szCs w:val="17"/>
                <w:color w:val="auto"/>
              </w:rPr>
            </w:pPr>
          </w:p>
        </w:tc>
        <w:tc>
          <w:tcPr>
            <w:tcW w:w="1420" w:type="dxa"/>
            <w:vAlign w:val="bottom"/>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2,941,679</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the fair market value of the Company’s common stock price and the exercise price of the stock options. The weighted average fair value of share-based awards granted during the years ended December 31, 2025 and 2024 was $0.65 and $1.19, respectively. As of December 31, 2025, the unrecognized compensation cost related to outstanding share-based awards was $2.0 million and is expected to be recognized as expense over a weighted-average period of approximately 2.6 years.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 including License Agreements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7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In March 2024, the Company amended its lease for corporate office space in Philadelphia, Pennsylvania that it initially entered into in March 2023, in order to extend the expiration date to November 30, 2024. In July 2024, the Company further amended the lease, which is now set to expire on November 30, 2026, thus making the arrangement no longer qualify for the short-term lease exception under ASC 842. The Company also retains the right to renew the lease for up to two consecutive 12-month terms upon at least nine months advance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landlord before any such successive renewal. These renewal options were not contemplated in the Company's calculation of its right of use asset and lease liability. See Note 10 for further discussion.</w:t>
      </w:r>
    </w:p>
    <w:p>
      <w:pPr>
        <w:spacing w:after="0" w:line="108"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8"/>
          <w:szCs w:val="18"/>
          <w:color w:val="auto"/>
        </w:rPr>
        <w:t>As of December 31, 2025, the operating lease right-of-use asset and the operating lease liabilities were each approximately $0.1 million, which were estimated using a discount rate of 11%. As of December 31, 2025, the remaining term of the Company’s noncancellable operating lease was 0.92 years. Future minimum lease payments under the lease are $0.1 million at December 31, 2025.</w:t>
      </w:r>
    </w:p>
    <w:p>
      <w:pPr>
        <w:spacing w:after="0" w:line="123" w:lineRule="exact"/>
        <w:rPr>
          <w:sz w:val="20"/>
          <w:szCs w:val="20"/>
          <w:color w:val="auto"/>
        </w:rPr>
      </w:pPr>
    </w:p>
    <w:p>
      <w:pPr>
        <w:ind w:right="280"/>
        <w:spacing w:after="0" w:line="310" w:lineRule="auto"/>
        <w:rPr>
          <w:sz w:val="20"/>
          <w:szCs w:val="20"/>
          <w:color w:val="auto"/>
        </w:rPr>
      </w:pPr>
      <w:r>
        <w:rPr>
          <w:rFonts w:ascii="Times New Roman" w:cs="Times New Roman" w:eastAsia="Times New Roman" w:hAnsi="Times New Roman"/>
          <w:sz w:val="17"/>
          <w:szCs w:val="17"/>
          <w:color w:val="auto"/>
        </w:rPr>
        <w:t>The Company recognizes rent expense on a straight-line basis over the lease period and accrues for rent expense incurred but not yet paid. Rent expense related to the Company’s operating lease was approximately $126,000 and $125,000 for the years ended December 31, 2025 and 2024,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17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color w:val="auto"/>
        </w:rPr>
        <w:t>The Company established a defined contribution 401(k) plan in which employees may contribute up to 100% of their salary and bonus, subject to statutory maximum contribution amounts. The Company contributes a safe harbor minimum contribution equivalent to 3% of employees’ compensation. For the years ended December 31, 2025 and 2024, the Company provided contributions of approximately $108,000 and $60,000,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Tyligand Bioscience</w:t>
      </w:r>
    </w:p>
    <w:p>
      <w:pPr>
        <w:spacing w:after="0" w:line="17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color w:val="auto"/>
        </w:rPr>
        <w:t>In March 2020, the Company entered into a process development agreement (the “Tyligand Process Development Agreement”) with Tyligand Bioscience (Shanghai) Limited (“Tyligand”) for the development, manufacturing, registration and future commercialization of onapristone extended release. In August 2024, the Company and Tyligand mutually agreed to terminate the license agreement previously entered into between the parties in August 2021, and further agreed to terminate any ongoing payment obligations the Company may have had to Tyligand under the Tyligand Process Development Agreement.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Licensing Agreement with Integral Molecular</w:t>
      </w:r>
    </w:p>
    <w:p>
      <w:pPr>
        <w:spacing w:after="0" w:line="16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April 2021, the Company entered into a collaboration and licensing agreement with Integral Molecular, Inc. (“Integral”) (the “Integral License Agreement”) for the development of a CLDN6 bsAb for cancer therapy. Under the terms of the Integral License Agreement, Integral and the Company developed a CLDN6 bsAb that is intended to trigger the activation of T cells and eliminate cancer cells displaying CLDN6. The Company will conduct preclinical and all clinical development, as well as regulatory and commercial activities through exclusive worldwide rights to develop and commercialize the novel CLDN6 candidates. The payment for the initial upfront license fee as well as subsequent payments for milestones achieved were expensed to acquired IPR&amp;D. As a part of the Integral License Agreement, Integral was eligible to receive remaining development and regulatory milestone payments totaling approximately $55.0 million, sales milestone payments totaling up to $130.0 million, and tiered royalties of up to 12% of net sales of certain products developed under the Integral License Agreement.</w:t>
      </w:r>
    </w:p>
    <w:p>
      <w:pPr>
        <w:spacing w:after="0" w:line="13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On March 20, 2023, the Company amended the Integral License Agreement (the “First Amendment”) to remove the previously agreed to second milestone payment and to change the amount of the third milestone payment to increase such payment by the amount of the prior second milestone payment and to add payment for third-party research funding obtained and used by Integral in connection with the development of CTIM-76.</w:t>
      </w:r>
    </w:p>
    <w:p>
      <w:pPr>
        <w:spacing w:after="0" w:line="11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On February 29, 2024, the Company further amended the Integral License Agreement (the "Second Amendment") to reflect updated financial terms. Integral’s right to receive certain future payments was reduced as follows: aggregate development and regulatory milestone payments were reduced from $55 million to $15 million, aggregate sales milestone payments were reduced from $130 million to $12.5 million, and a tiered royalty of 8-12% that commenced at first commercial sale was reduced to a flat royalty rate of 6% on net sales beginning no sooner than February 1, 2034. The Second Amendment also narrowed the license grant from Integral to the Company to only cover CTIM-76, removed any further obligation to reimburse Integral for any independently obtained research funding Integral applied against CTIM-76 research, and included mutual releases by the parties.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On July 9, 2024, the Company entered into an asset purchase agreement (the “Asset Purchase Agreement”) pursuant to which the Company acquired CT-95 (formerly known as LNK-101), an MSLN x CD3 TCE bsAb, from Link (assignment for the benefit of creditors), LLC (“Link”), which succeeded to the assets of Link Immunotherapeutics Inc.</w:t>
      </w:r>
    </w:p>
    <w:p>
      <w:pPr>
        <w:spacing w:after="0" w:line="12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Pursuant to the Asset Purchase Agreement, the Company purchased all of the assets from Link associated with CT-95, including patent rights, know-how, regulatory filings, and inventory of drug substance and drug product (the “Transferred Assets”), on an “as is” and “where is” basis. CT-95 patents are currently being prosecuted and/or maintained in the United States, Europe, Canada, Australia, Taiwan and Japan. The Company also assumed certain liabilities relating to the Transferred Assets. In consideration of the purchase of the Transferred Assets, the Company made a one-time payment to Link of $3.75 million and is not obligated to make any other payments. This transaction qualified as an asset purchase as prescribed by ASC 805-50 and the assets purchased were determined to have no alternative future use under the accounting definition, and therefore the Company expensed the one-time payment as a component of research and development expense in the consolidated statements of operations for the year ended December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Licensing Agreement with BioAtla</w:t>
      </w:r>
    </w:p>
    <w:p>
      <w:pPr>
        <w:spacing w:after="0" w:line="17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On September 23, 2024, the Company entered into a license agreement (the “BioAtla License Agreement”) with BioAtla, Inc. ("BioAtla"), pursuant to which the Company obtained an exclusive, worldwide license to develop, manufacture and commercialize two licensed antibodies (the “BioAtla Assets”), including BA3362 (renamed by the Company as CT-202), BioAtla’s Nectin-4 x CD3 T cell engaging bispecific antibody.</w:t>
      </w:r>
    </w:p>
    <w:p>
      <w:pPr>
        <w:spacing w:after="0" w:line="1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partial consideration for the exclusive license under the BioAtla License Agreement, the Company made an upfront payment of $11.0 million for the IPR&amp;D asset, which was determined to have no alternative future use under the accounting definition. Therefore, the upfront payment was expensed as a component of research and development expense in the consolidated statements of operations for the year ended December 31, 2024. The Company may be obligated to pay up to $122.5 million in additional milestone payments based upon the achievement of specified pre-clinical, clinical, development and commercial milestones, as well as tiered mid-single digit to low double-digit royalties on future net sales for products containing the BioAtla Assets, subject to standard reductions. In October 2025, the Company achieved a $2.0 million development milestone under the BioAtla License Agreement which was expensed as a component of research and development expense in the consolidated statements of operations for the year ended December 31, 2025. The BioAtla License Agreement will continue on a country-by-country, product-by-product basis until the expiration of the royalty term as defined in the BioAtla License Agreement, unless earlier terminated.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CTIM-76 and CT-202 Lonza License Agreements</w:t>
      </w:r>
    </w:p>
    <w:p>
      <w:pPr>
        <w:spacing w:after="0" w:line="173"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The Company has obtained active pharmaceutical ingredients and drug product for its product candidates from several third-party contract manufacturers, including Lonza Sales AG (“Lonza Sales”) and Lonza AG (“Lonza AG”, and collectively with Lonza Sales, “Lonza”).</w:t>
      </w:r>
    </w:p>
    <w:p>
      <w:pPr>
        <w:spacing w:after="0" w:line="108"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On November 7, 2022, the Company entered into a license agreement (the “Lonza CTIM-76 License Agreement”) with Lonza Sales in connection with Lonza’s development and manufacturing services with respect to CTIM-76. Under the terms of the Lonza CTIM-76 License Agreement, to the extent Lonza’s technology is incorporated into CTIM-76, Lonza granted the Company a non-exclusive license to use certain proprietary Lonza intellectual property and systems for the Company to develop, manufacture and commercially exploit CTIM-76.</w:t>
      </w:r>
    </w:p>
    <w:p>
      <w:pPr>
        <w:spacing w:after="0" w:line="12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On November 3, 2025, the Company entered into a license agreement (the “Lonza CT-202 License Agreement”) with Lonza Sales in connection with Lonza’s development and manufacturing services with respect to CT-202. Under the terms of the Lonza CT-202 License Agreement, to the extent Lonza’s technology is incorporated into CT-202, Lonza granted the Company a non-exclusive license to use certain proprietary Lonza intellectual property and systems for the Company to develop, manufacture and commercially exploit CT-202.</w:t>
      </w:r>
    </w:p>
    <w:p>
      <w:pPr>
        <w:spacing w:after="0" w:line="128"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The Company shall pay certain royalties and annual payments to Lonza under the applicable license agreement with respect to the manufacturing and sale of CTIM-76 or CT-202, as applicable, which amounts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determined by the party manufacturing CTIM-76 or CT-202, as applicable, and ranges from a potential annual payment of up to less than $500,000 per asset and a royalty per asset on net sales from 0% up to a low single digit percentage. Under each respective license agreement, the royalty payments and annual payments would be reduced per asset in certain circumstances, including should the valid claims for any such patent rights not exist in the country in which CTIM-76 or CT-202, as applicable, is being sold, and the royalty payments per asset would expire upon the later of the expiration of the licensed patents in the country in which CTIM-76 or CT-202, as applicable, is being sold, the expiration of the licensed patents in the country in which CTIM-76 or CT-202, as applicable, is being manufactured, and 10 years from the first commercial sales of CTIM-76 or CT-202, as applicable, in such country of sale.</w:t>
      </w:r>
    </w:p>
    <w:p>
      <w:pPr>
        <w:spacing w:after="0" w:line="13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Lonza CTIM-76 License Agreement and the Lonza CT-202 License Agreement each continue until respectively terminated. The Company or Lonza may terminate either the Lonza CTIM-76 License Agreement or the Lonza CT-202 License Agreement, as applicable, for uncured material breaches or insolvency of the other party. The Company can unilaterally terminate the Lonza CTIM-76 License Agreement or the Lonza CT-202 License Agreement with prior written notice to Lonza, and Lonza can also unilaterally terminate the Lonza CTIM-76 License Agreement or the Lonza CT-202 License Agreement upon certain actions by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Arrangements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course of normal business operations, the Company enters into agreements with investigative sites and contract research organizations to assist in the performance of research and development activities and contract manufacturers to assist with chemistry, manufacturing, and controls-related expenses. Expenditures to contract research organizations represent a significant cost in clinical development for the Company. The Company could also enter into additional collaborative research, contract research, manufacturing, and supplier agreements in the future, which may require upfront payments and long-term commitments of cash.</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3"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penalties, and other sources are recorded when it is probable that a liability has been incurred and the amount can be reasonably estimated. The Company believes no matters at either December 31, 2025 or 2024 that will have a material impact to the Company’s financial position, results of operations or cash flows. See Note 10 for further discussion.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6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applicable law. The Company currently has directors and officers insurance. The Company is not aware of any claims under indemnification arrangements, and it has not accrued any liabilities related to such obligations in its consolidated financial statements as of December 31, 2025 and 2024.</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60"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color w:val="auto"/>
        </w:rPr>
        <w:t>The Company is a corporation and is subject to federal, state and local corporate income taxes which have been provided for in the consolidated financial statements based upon ASC 740. Context BioPharma, Inc. has always been subject to corporate income taxes.</w:t>
      </w:r>
    </w:p>
    <w:p>
      <w:pPr>
        <w:spacing w:after="0" w:line="190"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8"/>
          <w:szCs w:val="18"/>
          <w:color w:val="auto"/>
        </w:rPr>
        <w:t>The Company had no income tax expense due to operating losses incurred for the years ended December 31, 2025 and 2024. The Company had also not recorded any income tax benefits for the net operating losses incurred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8"/>
          <w:szCs w:val="18"/>
          <w:color w:val="auto"/>
        </w:rPr>
        <w:t>each period due to its uncertainty of realizing a benefit from those items. All of the Company’s losses before income taxes were generated in the United States.</w:t>
      </w:r>
    </w:p>
    <w:p>
      <w:pPr>
        <w:spacing w:after="0" w:line="190"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In July 2025, the One Big Beautiful Bill Act (the “OBBBA”) was signed into law. The OBBBA makes the following changes to the U.S. tax code: restores bonus depreciation to 100% for all qualified assets placed in service after January 19, 2025, allows for the option to expense all domestic research and experimental expenditures for tax years beginning after December 31, 2024, allows for the option to recaptures all unamortized domestic research and experimental expenditures from prior years, changes the adjusted taxable income formula for interest expense limitation to include depreciation and amortization expense. The provisions of the OBBBA became effective for the Company during the year ended December 31,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and liabilities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r>
      <w:tr>
        <w:trPr>
          <w:trHeight w:val="25"/>
        </w:trPr>
        <w:tc>
          <w:tcPr>
            <w:tcW w:w="8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8"/>
        </w:trPr>
        <w:tc>
          <w:tcPr>
            <w:tcW w:w="80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8"/>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12,079,779</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9,318,875</w:t>
            </w:r>
          </w:p>
        </w:tc>
      </w:tr>
      <w:tr>
        <w:trPr>
          <w:trHeight w:val="228"/>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2,525,197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1,765,100</w:t>
            </w:r>
          </w:p>
        </w:tc>
      </w:tr>
      <w:tr>
        <w:trPr>
          <w:trHeight w:val="228"/>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Capitalized research and development Section 174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15,145,882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8,268,682</w:t>
            </w:r>
          </w:p>
        </w:tc>
      </w:tr>
      <w:tr>
        <w:trPr>
          <w:trHeight w:val="228"/>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1,485,127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1,094,621</w:t>
            </w:r>
          </w:p>
        </w:tc>
      </w:tr>
      <w:tr>
        <w:trPr>
          <w:trHeight w:val="228"/>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4,514,521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4,258,804</w:t>
            </w:r>
          </w:p>
        </w:tc>
      </w:tr>
      <w:tr>
        <w:trPr>
          <w:trHeight w:val="228"/>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accruals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431,201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299,517</w:t>
            </w:r>
          </w:p>
        </w:tc>
      </w:tr>
      <w:tr>
        <w:trPr>
          <w:trHeight w:val="222"/>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36,181,707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25,005,599</w:t>
            </w:r>
          </w:p>
        </w:tc>
      </w:tr>
      <w:tr>
        <w:trPr>
          <w:trHeight w:val="22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8"/>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(271,578)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(243,408)</w:t>
            </w:r>
          </w:p>
        </w:tc>
      </w:tr>
      <w:tr>
        <w:trPr>
          <w:trHeight w:val="228"/>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r>
      <w:tr>
        <w:trPr>
          <w:trHeight w:val="222"/>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35,901,900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24,759,392</w:t>
            </w:r>
          </w:p>
        </w:tc>
      </w:tr>
      <w:tr>
        <w:trPr>
          <w:trHeight w:val="228"/>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(35,901,900)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(24,759,392)</w:t>
            </w:r>
          </w:p>
        </w:tc>
      </w:tr>
      <w:tr>
        <w:trPr>
          <w:trHeight w:val="222"/>
        </w:trPr>
        <w:tc>
          <w:tcPr>
            <w:tcW w:w="80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 likely than not threshold for realizability. Accordingly, a full valuation allowance has been recorded against the Company’s net deferred tax assets as of December 31, 2025 and 2024. The valuation allowance increased by $11.1 million and $8.2 million during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80" w:type="dxa"/>
            <w:vAlign w:val="bottom"/>
            <w:gridSpan w:val="4"/>
          </w:tcPr>
          <w:p>
            <w:pPr>
              <w:jc w:val="right"/>
              <w:ind w:right="13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r>
      <w:tr>
        <w:trPr>
          <w:trHeight w:val="25"/>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8"/>
        </w:trPr>
        <w:tc>
          <w:tcPr>
            <w:tcW w:w="47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bottom w:val="single" w:sz="8" w:color="auto"/>
            </w:tcBorders>
          </w:tcPr>
          <w:p>
            <w:pPr>
              <w:spacing w:after="0"/>
              <w:rPr>
                <w:sz w:val="16"/>
                <w:szCs w:val="16"/>
                <w:color w:val="auto"/>
              </w:rPr>
            </w:pPr>
          </w:p>
        </w:tc>
      </w:tr>
      <w:tr>
        <w:trPr>
          <w:trHeight w:val="22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benefit at statutory rate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(7,584,636)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(5,611,510)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 (a)</w:t>
            </w:r>
          </w:p>
        </w:tc>
        <w:tc>
          <w:tcPr>
            <w:tcW w:w="380" w:type="dxa"/>
            <w:vAlign w:val="bottom"/>
          </w:tcPr>
          <w:p>
            <w:pPr>
              <w:spacing w:after="0"/>
              <w:rPr>
                <w:sz w:val="19"/>
                <w:szCs w:val="19"/>
                <w:color w:val="auto"/>
              </w:rPr>
            </w:pPr>
          </w:p>
        </w:tc>
        <w:tc>
          <w:tcPr>
            <w:tcW w:w="174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(2,827,095)</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(2,011,315)</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r>
      <w:tr>
        <w:trPr>
          <w:trHeight w:val="22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(760,097)</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(533,785)</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r>
      <w:tr>
        <w:trPr>
          <w:trHeight w:val="228"/>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rPr>
              <w:t>11,171,828</w:t>
            </w:r>
          </w:p>
        </w:tc>
        <w:tc>
          <w:tcPr>
            <w:tcW w:w="11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rPr>
              <w:t>8,156,610</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(30.5)</w:t>
            </w:r>
          </w:p>
        </w:tc>
      </w:tr>
      <w:tr>
        <w:trPr>
          <w:trHeight w:val="24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firstLine="7"/>
        <w:spacing w:after="0" w:line="264" w:lineRule="auto"/>
        <w:tabs>
          <w:tab w:leader="none" w:pos="2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Pennsylvania, Massachusetts and Philadelphia made up the majority (greater than 50 percent) of the tax effect in this category for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carryforwards of federal, state and local net operating losses (“NOL”) and research tax credits: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5"/>
        </w:trPr>
        <w:tc>
          <w:tcPr>
            <w:tcW w:w="80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8"/>
        </w:trPr>
        <w:tc>
          <w:tcPr>
            <w:tcW w:w="80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NOL carryforwards—Federal</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44,031,473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33,850,215</w:t>
            </w:r>
          </w:p>
        </w:tc>
      </w:tr>
      <w:tr>
        <w:trPr>
          <w:trHeight w:val="22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NOL carryforwards—State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44,413,810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33,934,258</w:t>
            </w:r>
          </w:p>
        </w:tc>
      </w:tr>
      <w:tr>
        <w:trPr>
          <w:trHeight w:val="22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NOL carryforwards—Local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23,792,092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18,967,829</w:t>
            </w: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tax credits—Federal</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2,525,197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1,765,100</w:t>
            </w:r>
          </w:p>
        </w:tc>
      </w:tr>
    </w:tbl>
    <w:p>
      <w:pPr>
        <w:spacing w:after="0" w:line="21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 NOL carryforwards begin expiring in 2037 for federal and state income tax purposes; however, all federal NOL carryforwards generated subsequent to January 1, 2018 are able to be carried forward indefinitely. Local NOL carryforwards expire after three years with the 2023 NOL set to expire in 2026. As of December 31, 2025 and 2024, the Company had federal research and development tax credit carryforwards of $2.5 million and $1.8 million, respectively, that will begin to expire in 2037, unless previously utilized.</w:t>
      </w:r>
    </w:p>
    <w:p>
      <w:pPr>
        <w:spacing w:after="0" w:line="12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NOL and tax credit carryforwards are subject to review and possible adjustment by the Internal Revenue Service and state tax authorities. NOL and tax credit carryforwards may become subject to an annual limitation in the event of certain cumulative changes in the ownership interest of significant stockholders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To date, the Company has not performed an analysis to determine whether or not ownership changes have occurred since inception. State and local NOLs may also be limited.</w:t>
      </w:r>
    </w:p>
    <w:p>
      <w:pPr>
        <w:spacing w:after="0" w:line="133"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As of December 31, 2025 and 2024, the Company had no accrued interest or penalties related to uncertain tax positions and no amounts have been recognized in the Company’s consolidated statements of operations. Due to NOLs and tax credit carryforwards that remain unutilized, income tax returns for tax years from all years remain subject to examination by the taxing jurisdictions. The NOL carryforwards remain subject to review until utilized.</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17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color w:val="auto"/>
        </w:rPr>
        <w:t>In January 2026, the Company further amended its lease for corporate office space in Philadelphia, Pennsylvania that it initially entered into in March 2023 in order to obtain additional office space and to renew the lease for one additional successive one-year period that expires on November 30, 2026. The Company also retains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the right to renew the lease for and additional 12-month term upon at least nine months advance notice to the landlord, including the right to remove the additional office space from that renewal.</w:t>
      </w:r>
    </w:p>
    <w:p>
      <w:pPr>
        <w:spacing w:after="0" w:line="10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On February 4, 2026, the Vladimir Gusinsky Revocable Trust filed a stockholder class action complaint (the “Action”) against the Company and its directors in the Court of Chancery of the State of Delaware (the “Court”) asserting that (i) Article V, Section 2 of the Company’s Amended and Restated Certificate of Incorporation, as amended (the “Certificate of Incorporation”), provides for a full term of three years for directors in violation of Section 211(b) of the General Corporation Law of the State of Delaware (the “DGCL”) and (ii) Article VI, Section 1 of the Certificate of Incorporation limits removal of directors only for cause in violation of Section 141(k) of the DGCL.</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24, 2026, a stipulation and proposed consent judgment (the “Stipulated Judgment”) was filed with the Court regarding the Action, and on March 11, 2026, the Court approved the Stipulated Judgment, pursuant to which Article V, Section 2 and Article VI, Section 1 of the Certificate of Incorporation were determined to be invalid and unenforceable. On March 11, 2026, the Company filed a Certificate of Correction with the Delaware Secretary of State reflecting such provisions as invalid, unenforceable and no longer part of the Certificate of Incorporation. Accordingly, the term of office of the current members of the Company’s Board of Directors will expire at the Company’s 2026 annual meeting of stockholders, with each serving until his or her successor is duly elected and qualified or until his or her earlier death, resignation or removal. In addition, directors may be removed, with or without cause, by the holders of a majority of the shares then entitled to vote at an election of directors.</w:t>
      </w:r>
    </w:p>
    <w:p>
      <w:pPr>
        <w:spacing w:after="0" w:line="13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On March 11, 2026, pursuant to the Stipulated Judgment, the Action was dismissed with prejudice with respect to the plaintiff; however, the Court retains jurisdiction to address any mootness fee application.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believe this matter will have a material impact on its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3"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w:t>
      </w:r>
    </w:p>
    <w:p>
      <w:pPr>
        <w:spacing w:after="0" w:line="13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Annual Report on Form 10-K. Based on that evaluation, our Chief Executive Officer and Chief Financial Officer have concluded that, as of December 31, 2025, our disclosure controls and procedures were effective.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such term is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our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 xml:space="preserve">As of December 31, 2025, our management, with the participation of our Chief Executive Officer and Chief Financial Officer, assessed the effectiveness of our internal control over financial reporting using the criteria set forth by the Committee of Sponsoring Organizations of the Treadway Commission in </w:t>
      </w:r>
      <w:r>
        <w:rPr>
          <w:rFonts w:ascii="Times New Roman" w:cs="Times New Roman" w:eastAsia="Times New Roman" w:hAnsi="Times New Roman"/>
          <w:sz w:val="18"/>
          <w:szCs w:val="18"/>
          <w:i w:val="1"/>
          <w:iCs w:val="1"/>
          <w:color w:val="auto"/>
        </w:rPr>
        <w:t xml:space="preserve">Internal Control-Integrated Framework </w:t>
      </w:r>
      <w:r>
        <w:rPr>
          <w:rFonts w:ascii="Times New Roman" w:cs="Times New Roman" w:eastAsia="Times New Roman" w:hAnsi="Times New Roman"/>
          <w:sz w:val="18"/>
          <w:szCs w:val="18"/>
          <w:color w:val="auto"/>
        </w:rPr>
        <w:t>(2013). Based on this assessment, our management concluded that, as of December 31, 2025, our internal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financial reporting was effective based on those criteria.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173"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regarding internal control over financial reporting due to an exemption provided by the JOBS Act for emerging growth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under the Exchange Act) that occurred during the fiscal quarter ended December 31,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defined in the SEC’s rules).</w:t>
      </w:r>
    </w:p>
    <w:p>
      <w:pPr>
        <w:spacing w:after="0" w:line="119" w:lineRule="exact"/>
        <w:rPr>
          <w:sz w:val="20"/>
          <w:szCs w:val="20"/>
          <w:color w:val="auto"/>
        </w:rPr>
      </w:pPr>
    </w:p>
    <w:p>
      <w:pPr>
        <w:ind w:right="5300"/>
        <w:spacing w:after="0" w:line="471"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2025 Annual Meeting of Stockholders to be filed with the SEC within 120 days after the end of the fiscal year ended December 31, 2025, under the captions “</w:t>
      </w:r>
      <w:r>
        <w:rPr>
          <w:rFonts w:ascii="Times New Roman" w:cs="Times New Roman" w:eastAsia="Times New Roman" w:hAnsi="Times New Roman"/>
          <w:sz w:val="18"/>
          <w:szCs w:val="18"/>
          <w:i w:val="1"/>
          <w:iCs w:val="1"/>
          <w:color w:val="auto"/>
        </w:rPr>
        <w:t>Information regarding Committees of 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Information regarding the Board of Directors and Corporate Governance,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Delinquent Section 16(a) Reports.</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contractors, consultants and agents and representatives, including our independent directors and consultants, who are not employees of ours, with regard to their Company-related activities. Our code of business conduct and ethics is available on our website at www.contexttherapeutics.com within the “Investors &amp; News — Governance” section. We intend to post on this section of our website any amendment to our code of business conduct and ethics, as well as any waivers of our code of business conduct and ethics, that are required to be disclosed by the rules of the SEC or The Nasdaq Stock Market.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Proxy Statement for our 2026 Annual Meeting of Stockholders to be filed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within 120 days after the end of the fiscal year ended December 31, 2025, under the captions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Director</w:t>
      </w:r>
    </w:p>
    <w:p>
      <w:pPr>
        <w:spacing w:after="0" w:line="233" w:lineRule="auto"/>
        <w:rPr>
          <w:sz w:val="20"/>
          <w:szCs w:val="20"/>
          <w:color w:val="auto"/>
        </w:rPr>
      </w:pP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p>
    <w:p>
      <w:pPr>
        <w:spacing w:after="0" w:line="13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2026 Annual Meeting of Stockholders to be filed with the SEC within 120 days after the end of the fiscal year ended December 31, 2025, under the captions “</w:t>
      </w:r>
      <w:r>
        <w:rPr>
          <w:rFonts w:ascii="Times New Roman" w:cs="Times New Roman" w:eastAsia="Times New Roman" w:hAnsi="Times New Roman"/>
          <w:sz w:val="18"/>
          <w:szCs w:val="18"/>
          <w:i w:val="1"/>
          <w:iCs w:val="1"/>
          <w:color w:val="auto"/>
        </w:rPr>
        <w:t>Equity Compensation Plan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of Certain Beneficial Owners and Management.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is incorporated by reference to our Proxy Statement for our 2026 Annual Meeting of Stockholders to be filed with the</w:t>
      </w:r>
    </w:p>
    <w:p>
      <w:pPr>
        <w:spacing w:after="0" w:line="34"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18"/>
          <w:szCs w:val="18"/>
          <w:color w:val="auto"/>
        </w:rPr>
        <w:t>SEC within 120 days after the end of the fiscal year ended December 31, 2025</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under the captions “</w:t>
      </w:r>
      <w:r>
        <w:rPr>
          <w:rFonts w:ascii="Times New Roman" w:cs="Times New Roman" w:eastAsia="Times New Roman" w:hAnsi="Times New Roman"/>
          <w:sz w:val="18"/>
          <w:szCs w:val="18"/>
          <w:i w:val="1"/>
          <w:iCs w:val="1"/>
          <w:color w:val="auto"/>
        </w:rPr>
        <w:t>Transactions with Related Persons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6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2026 Annual Meeting of Stockholders to be filed with the SEC within 120 days after the end of the fiscal year ended December 31, 2025, under the caption “</w:t>
      </w:r>
      <w:r>
        <w:rPr>
          <w:rFonts w:ascii="Times New Roman" w:cs="Times New Roman" w:eastAsia="Times New Roman" w:hAnsi="Times New Roman"/>
          <w:sz w:val="18"/>
          <w:szCs w:val="18"/>
          <w:i w:val="1"/>
          <w:iCs w:val="1"/>
          <w:color w:val="auto"/>
        </w:rPr>
        <w:t>Proposal 2–Ratification of Selection of 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filed the following documents as part of this Annual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are included in Item 8. “Financial Statements and Supplementary Data.”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schedules are omitted as information required is inapplicable or the information is presented in the financial statements and the related notes.</w:t>
      </w:r>
    </w:p>
    <w:p>
      <w:pPr>
        <w:spacing w:after="0" w:line="16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(a)(3) </w:t>
      </w:r>
      <w:r>
        <w:rPr>
          <w:rFonts w:ascii="Times New Roman" w:cs="Times New Roman" w:eastAsia="Times New Roman" w:hAnsi="Times New Roman"/>
          <w:sz w:val="18"/>
          <w:szCs w:val="18"/>
          <w:color w:val="auto"/>
        </w:rPr>
        <w:t>The exhibits listed under Item 15(b), which are incorporated herein by reference, are filed or furnished as part of this report or are incorporated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report by reference.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600" w:type="dxa"/>
            <w:vAlign w:val="bottom"/>
            <w:gridSpan w:val="24"/>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5"/>
        </w:trPr>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2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Amended &amp; Restated Certificate of Incorporation of Context Therapeutics Inc. as amended through March 11, 2026.</w:t>
            </w:r>
          </w:p>
        </w:tc>
        <w:tc>
          <w:tcPr>
            <w:tcW w:w="80" w:type="dxa"/>
            <w:vAlign w:val="bottom"/>
            <w:gridSpan w:val="3"/>
          </w:tcPr>
          <w:p>
            <w:pPr>
              <w:spacing w:after="0"/>
              <w:rPr>
                <w:sz w:val="19"/>
                <w:szCs w:val="19"/>
                <w:color w:val="auto"/>
              </w:rPr>
            </w:pPr>
          </w:p>
        </w:tc>
      </w:tr>
      <w:tr>
        <w:trPr>
          <w:trHeight w:val="26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5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Certificate of Correction to the Amended and Restated Certificate of Incorporation, dated March 11, 2026</w:t>
              </w:r>
            </w:hyperlink>
          </w:p>
        </w:tc>
        <w:tc>
          <w:tcPr>
            <w:tcW w:w="860" w:type="dxa"/>
            <w:vAlign w:val="bottom"/>
            <w:gridSpan w:val="15"/>
          </w:tcPr>
          <w:p>
            <w:pPr>
              <w:spacing w:after="0"/>
              <w:rPr>
                <w:sz w:val="22"/>
                <w:szCs w:val="22"/>
                <w:color w:val="auto"/>
              </w:rPr>
            </w:pPr>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gridSpan w:val="26"/>
          </w:tcPr>
          <w:p>
            <w:pPr>
              <w:spacing w:after="0" w:line="154"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(incorporated by reference to Exhibit 3.1 to the Company’s Current Report on Form 8-K (File No. 001-40654), as</w:t>
              </w:r>
            </w:hyperlink>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top w:val="single" w:sz="8" w:color="0000FF"/>
              <w:bottom w:val="single" w:sz="8" w:color="0000FF"/>
            </w:tcBorders>
            <w:gridSpan w:val="2"/>
          </w:tcPr>
          <w:p>
            <w:pPr>
              <w:spacing w:after="0" w:line="168" w:lineRule="exact"/>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filed with the SEC on March 13, 2026).</w:t>
              </w:r>
            </w:hyperlink>
          </w:p>
        </w:tc>
        <w:tc>
          <w:tcPr>
            <w:tcW w:w="5320" w:type="dxa"/>
            <w:vAlign w:val="bottom"/>
            <w:tcBorders>
              <w:top w:val="single" w:sz="8" w:color="0000FF"/>
            </w:tcBorders>
            <w:gridSpan w:val="16"/>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0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gridSpan w:val="26"/>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Amended &amp; Restated Bylaws of Context Therapeutics Inc. (incorporated by reference to Exhibit 3.2 to the</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2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Company's Annual Report on Form 10-K (File No. 001-40654), as filed with the SEC on March 21, 2024)</w:t>
              </w:r>
            </w:hyperlink>
          </w:p>
        </w:tc>
        <w:tc>
          <w:tcPr>
            <w:tcW w:w="240" w:type="dxa"/>
            <w:vAlign w:val="bottom"/>
            <w:gridSpan w:val="2"/>
          </w:tcPr>
          <w:p>
            <w:pPr>
              <w:jc w:val="right"/>
              <w:ind w:right="200"/>
              <w:spacing w:after="0"/>
              <w:rPr>
                <w:rFonts w:ascii="Times New Roman" w:cs="Times New Roman" w:eastAsia="Times New Roman" w:hAnsi="Times New Roman"/>
                <w:sz w:val="11"/>
                <w:szCs w:val="11"/>
                <w:color w:val="0000FF"/>
                <w:w w:val="70"/>
              </w:rPr>
            </w:pPr>
            <w:hyperlink r:id="rId121">
              <w:r>
                <w:rPr>
                  <w:rFonts w:ascii="Times New Roman" w:cs="Times New Roman" w:eastAsia="Times New Roman" w:hAnsi="Times New Roman"/>
                  <w:sz w:val="11"/>
                  <w:szCs w:val="11"/>
                  <w:color w:val="0000FF"/>
                  <w:w w:val="70"/>
                </w:rPr>
                <w:t>.</w:t>
              </w:r>
            </w:hyperlink>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6"/>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40" w:type="dxa"/>
            <w:vAlign w:val="bottom"/>
            <w:gridSpan w:val="26"/>
          </w:tcPr>
          <w:p>
            <w:pPr>
              <w:spacing w:after="0"/>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Form of Stock Certificate of Common Stock (incorporated by reference to Exhibit 4.1 to the Company’s Registration</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Statement on Form S-1 (File No. 333-256572), as filed with the SEC on May 27, 2021).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6"/>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40" w:type="dxa"/>
            <w:vAlign w:val="bottom"/>
            <w:gridSpan w:val="26"/>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Pre-Funded Warrant (incorporated by reference to Exhibit 4.1 to the Company's Current Report on Form 8-</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4"/>
          </w:tcPr>
          <w:p>
            <w:pPr>
              <w:spacing w:after="0" w:line="154"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K (File No. 001-40654), as filed with the SEC on May 2, 2024).</w:t>
              </w:r>
            </w:hyperlink>
          </w:p>
        </w:tc>
        <w:tc>
          <w:tcPr>
            <w:tcW w:w="3700" w:type="dxa"/>
            <w:vAlign w:val="bottom"/>
            <w:tcBorders>
              <w:top w:val="single" w:sz="8" w:color="0000FF"/>
            </w:tcBorders>
            <w:gridSpan w:val="17"/>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76"/>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40" w:type="dxa"/>
            <w:vAlign w:val="bottom"/>
            <w:gridSpan w:val="26"/>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Common Stock Purchase Warrant (incorporated by reference to Exhibit 4.1 to the Company’s Quarterly</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Report on Form 10-Q (File No. 001-40654), as filed with the SEC on December 2, 2021).</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76"/>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Description of Securities of Context Therapeutics Inc.</w:t>
            </w:r>
          </w:p>
        </w:tc>
        <w:tc>
          <w:tcPr>
            <w:tcW w:w="2020" w:type="dxa"/>
            <w:vAlign w:val="bottom"/>
            <w:gridSpan w:val="17"/>
          </w:tcPr>
          <w:p>
            <w:pPr>
              <w:spacing w:after="0"/>
              <w:rPr>
                <w:sz w:val="23"/>
                <w:szCs w:val="23"/>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40" w:type="dxa"/>
            <w:vAlign w:val="bottom"/>
            <w:gridSpan w:val="26"/>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Research Collaboration and License Agreement, dated April 6, 2021, between Context Therapeutics LLC and</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20" w:type="dxa"/>
            <w:vAlign w:val="bottom"/>
            <w:gridSpan w:val="4"/>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gridSpan w:val="26"/>
          </w:tcPr>
          <w:p>
            <w:pPr>
              <w:spacing w:after="0" w:line="154"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Integral Molecular, Inc. (incorporated by reference to Exhibit 10.1 to the Company’s Registration Statement on Form</w:t>
              </w:r>
            </w:hyperlink>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0" w:type="dxa"/>
            <w:vAlign w:val="bottom"/>
            <w:tcBorders>
              <w:top w:val="single" w:sz="8" w:color="0000FF"/>
            </w:tcBorders>
            <w:gridSpan w:val="25"/>
          </w:tcPr>
          <w:p>
            <w:pPr>
              <w:spacing w:after="0" w:line="168"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S-1 (File No. 333-256572), as filed with the SEC on May 27, 2021).</w:t>
              </w:r>
            </w:hyperlink>
          </w:p>
        </w:tc>
        <w:tc>
          <w:tcPr>
            <w:tcW w:w="4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20" w:type="dxa"/>
            <w:vAlign w:val="bottom"/>
            <w:gridSpan w:val="4"/>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6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Amendment No. 1, dated March 20, 2023, to that certain Research Collaboration and License Agreement, dated</w:t>
              </w:r>
            </w:hyperlink>
          </w:p>
        </w:tc>
        <w:tc>
          <w:tcPr>
            <w:tcW w:w="420" w:type="dxa"/>
            <w:vAlign w:val="bottom"/>
            <w:gridSpan w:val="11"/>
          </w:tcPr>
          <w:p>
            <w:pPr>
              <w:spacing w:after="0"/>
              <w:rPr>
                <w:sz w:val="22"/>
                <w:szCs w:val="22"/>
                <w:color w:val="auto"/>
              </w:rPr>
            </w:pPr>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gridSpan w:val="26"/>
          </w:tcPr>
          <w:p>
            <w:pPr>
              <w:spacing w:after="0" w:line="15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April 6, 2021, between Context Therapeutics LLC and Integral Molecular, Inc. (incorporated by reference to Exhibit</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18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gridSpan w:val="26"/>
          </w:tcPr>
          <w:p>
            <w:pPr>
              <w:spacing w:after="0" w:line="168"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r>
                <w:rPr>
                  <w:rFonts w:ascii="Times New Roman" w:cs="Times New Roman" w:eastAsia="Times New Roman" w:hAnsi="Times New Roman"/>
                  <w:sz w:val="18"/>
                  <w:szCs w:val="18"/>
                  <w:color w:val="0000FF"/>
                </w:rPr>
                <w:t xml:space="preserve"> to the Company’s Annual Report on Form 10-K (File No. 001-40654), as filed with the SEC on March 22,</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2023).</w:t>
              </w:r>
            </w:hyperlink>
          </w:p>
        </w:tc>
        <w:tc>
          <w:tcPr>
            <w:tcW w:w="238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Amendment No. 2, dated February 29, 2024, to that certain Research Collaboration and License Agreement, dated</w:t>
              </w:r>
            </w:hyperlink>
          </w:p>
        </w:tc>
        <w:tc>
          <w:tcPr>
            <w:tcW w:w="240" w:type="dxa"/>
            <w:vAlign w:val="bottom"/>
            <w:gridSpan w:val="7"/>
          </w:tcPr>
          <w:p>
            <w:pPr>
              <w:spacing w:after="0"/>
              <w:rPr>
                <w:sz w:val="22"/>
                <w:szCs w:val="22"/>
                <w:color w:val="auto"/>
              </w:rPr>
            </w:pPr>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gridSpan w:val="26"/>
          </w:tcPr>
          <w:p>
            <w:pPr>
              <w:spacing w:after="0" w:line="154"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April 6, 2021, between Context Therapeutics LLC and Integral Molecular, Inc. (incorporated by reference to Exhibit</w:t>
              </w:r>
            </w:hyperlink>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40" w:type="dxa"/>
            <w:vAlign w:val="bottom"/>
            <w:tcBorders>
              <w:top w:val="single" w:sz="8" w:color="0000FF"/>
            </w:tcBorders>
            <w:gridSpan w:val="22"/>
          </w:tcPr>
          <w:p>
            <w:pPr>
              <w:spacing w:after="0" w:line="168"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Current Report on Form 8-K (File No. 001-40654), as filed with the SEC on March 6, 2024)</w:t>
              </w:r>
              <w:r>
                <w:rPr>
                  <w:rFonts w:ascii="Times New Roman" w:cs="Times New Roman" w:eastAsia="Times New Roman" w:hAnsi="Times New Roman"/>
                  <w:sz w:val="18"/>
                  <w:szCs w:val="18"/>
                  <w:color w:val="000000"/>
                  <w:w w:val="99"/>
                </w:rPr>
                <w:t>.</w:t>
              </w:r>
            </w:hyperlink>
          </w:p>
        </w:tc>
        <w:tc>
          <w:tcPr>
            <w:tcW w:w="100" w:type="dxa"/>
            <w:vAlign w:val="bottom"/>
            <w:gridSpan w:val="4"/>
          </w:tcPr>
          <w:p>
            <w:pPr>
              <w:spacing w:after="0"/>
              <w:rPr>
                <w:sz w:val="14"/>
                <w:szCs w:val="14"/>
                <w:color w:val="auto"/>
              </w:rPr>
            </w:pPr>
          </w:p>
        </w:tc>
      </w:tr>
      <w:tr>
        <w:trPr>
          <w:trHeight w:val="262"/>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2"/>
                <w:szCs w:val="22"/>
                <w:color w:val="auto"/>
              </w:rPr>
            </w:pPr>
          </w:p>
        </w:tc>
        <w:tc>
          <w:tcPr>
            <w:tcW w:w="8280" w:type="dxa"/>
            <w:vAlign w:val="bottom"/>
            <w:tcBorders>
              <w:top w:val="single" w:sz="8" w:color="0000FF"/>
            </w:tcBorders>
            <w:gridSpan w:val="20"/>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Context Therapeutics LLC 2015 Option Plan (incorporated by reference to Exhibit 10.5 to the Company’s</w:t>
              </w:r>
            </w:hyperlink>
          </w:p>
        </w:tc>
        <w:tc>
          <w:tcPr>
            <w:tcW w:w="160" w:type="dxa"/>
            <w:vAlign w:val="bottom"/>
            <w:gridSpan w:val="6"/>
          </w:tcPr>
          <w:p>
            <w:pPr>
              <w:spacing w:after="0"/>
              <w:rPr>
                <w:sz w:val="22"/>
                <w:szCs w:val="22"/>
                <w:color w:val="auto"/>
              </w:rPr>
            </w:pPr>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80" w:type="dxa"/>
            <w:vAlign w:val="bottom"/>
            <w:tcBorders>
              <w:top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Registration Statement on Form S-1 (File No. 333-256572), as filed with the SEC on May 27, 2021).</w:t>
              </w:r>
            </w:hyperlink>
          </w:p>
        </w:tc>
        <w:tc>
          <w:tcPr>
            <w:tcW w:w="860" w:type="dxa"/>
            <w:vAlign w:val="bottom"/>
            <w:gridSpan w:val="15"/>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80" w:type="dxa"/>
            <w:vAlign w:val="bottom"/>
            <w:gridSpan w:val="34"/>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5"/>
        </w:trPr>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2"/>
        </w:trPr>
        <w:tc>
          <w:tcPr>
            <w:tcW w:w="11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43"/>
          </w:tcPr>
          <w:p>
            <w:pPr>
              <w:spacing w:after="0" w:line="182"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Context Therapeutics Inc. 2021 Long-Term Incentive Plan (incorporated by reference to Exhibit 10.6 to the</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0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Company’s Registration Statement on Form S-1 (File No. 333-256572), as filed with the SEC on May 27,</w:t>
              </w:r>
            </w:hyperlink>
          </w:p>
        </w:tc>
        <w:tc>
          <w:tcPr>
            <w:tcW w:w="400" w:type="dxa"/>
            <w:vAlign w:val="bottom"/>
            <w:gridSpan w:val="5"/>
          </w:tcPr>
          <w:p>
            <w:pPr>
              <w:jc w:val="right"/>
              <w:ind w:right="20"/>
              <w:spacing w:after="0" w:line="154" w:lineRule="exact"/>
              <w:rPr>
                <w:rFonts w:ascii="Times New Roman" w:cs="Times New Roman" w:eastAsia="Times New Roman" w:hAnsi="Times New Roman"/>
                <w:sz w:val="17"/>
                <w:szCs w:val="17"/>
                <w:color w:val="0000FF"/>
                <w:w w:val="81"/>
              </w:rPr>
            </w:pPr>
            <w:hyperlink r:id="rId131">
              <w:r>
                <w:rPr>
                  <w:rFonts w:ascii="Times New Roman" w:cs="Times New Roman" w:eastAsia="Times New Roman" w:hAnsi="Times New Roman"/>
                  <w:sz w:val="17"/>
                  <w:szCs w:val="17"/>
                  <w:color w:val="0000FF"/>
                  <w:w w:val="81"/>
                </w:rPr>
                <w:t>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3"/>
                <w:szCs w:val="23"/>
                <w:color w:val="auto"/>
              </w:rPr>
            </w:pPr>
          </w:p>
        </w:tc>
        <w:tc>
          <w:tcPr>
            <w:tcW w:w="83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Form of Stock Option Agreement under the Context Therapeutics Inc. 2021 Incentive Award Plan (incorporated by</w:t>
              </w:r>
            </w:hyperlink>
          </w:p>
        </w:tc>
        <w:tc>
          <w:tcPr>
            <w:tcW w:w="220" w:type="dxa"/>
            <w:vAlign w:val="bottom"/>
            <w:gridSpan w:val="11"/>
          </w:tcPr>
          <w:p>
            <w:pPr>
              <w:spacing w:after="0"/>
              <w:rPr>
                <w:sz w:val="23"/>
                <w:szCs w:val="23"/>
                <w:color w:val="auto"/>
              </w:rPr>
            </w:pPr>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gridSpan w:val="43"/>
          </w:tcPr>
          <w:p>
            <w:pPr>
              <w:spacing w:after="0" w:line="154"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reference to Exhibit 10.7 to the Company’s Registration Statement on Form S-1 (File No. 333-256572), as filed with</w:t>
              </w:r>
            </w:hyperlink>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Borders>
              <w:top w:val="single" w:sz="8" w:color="0000FF"/>
              <w:bottom w:val="single" w:sz="8" w:color="0000FF"/>
            </w:tcBorders>
            <w:gridSpan w:val="2"/>
          </w:tcPr>
          <w:p>
            <w:pPr>
              <w:spacing w:after="0" w:line="168" w:lineRule="exact"/>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the SEC on May 27, 2021).</w:t>
              </w:r>
            </w:hyperlink>
          </w:p>
        </w:tc>
        <w:tc>
          <w:tcPr>
            <w:tcW w:w="6440" w:type="dxa"/>
            <w:vAlign w:val="bottom"/>
            <w:tcBorders>
              <w:top w:val="single" w:sz="8" w:color="0000FF"/>
            </w:tcBorders>
            <w:gridSpan w:val="3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2"/>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2"/>
                <w:szCs w:val="22"/>
                <w:color w:val="auto"/>
              </w:rPr>
            </w:pPr>
          </w:p>
        </w:tc>
        <w:tc>
          <w:tcPr>
            <w:tcW w:w="8520" w:type="dxa"/>
            <w:vAlign w:val="bottom"/>
            <w:gridSpan w:val="43"/>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Stock Grant Agreement under the Context Therapeutics Inc. 2021 Long-Term Incentive Plan (incorporated</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top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by reference to Exhibit 10.8 to the Company’s Registration Statement on Form S-1 (File No. 333-256572), as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tcBorders>
              <w:top w:val="single" w:sz="8" w:color="0000FF"/>
              <w:bottom w:val="single" w:sz="8" w:color="0000FF"/>
            </w:tcBorders>
            <w:gridSpan w:val="5"/>
          </w:tcPr>
          <w:p>
            <w:pPr>
              <w:spacing w:after="0" w:line="168"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with the SEC on May 27, 2021).</w:t>
              </w:r>
            </w:hyperlink>
          </w:p>
        </w:tc>
        <w:tc>
          <w:tcPr>
            <w:tcW w:w="588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2"/>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2"/>
                <w:szCs w:val="22"/>
                <w:color w:val="auto"/>
              </w:rPr>
            </w:pPr>
          </w:p>
        </w:tc>
        <w:tc>
          <w:tcPr>
            <w:tcW w:w="8520" w:type="dxa"/>
            <w:vAlign w:val="bottom"/>
            <w:gridSpan w:val="43"/>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Indemnification Agreement between Context Therapeutics Inc. and its officers and directors (incorporated</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by reference to Exhibit 10.10 to the Company’s Registration Statement on Form S-1/A (File No. 333-256572),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tcBorders>
              <w:top w:val="single" w:sz="8" w:color="0000FF"/>
              <w:bottom w:val="single" w:sz="8" w:color="0000FF"/>
            </w:tcBorders>
            <w:gridSpan w:val="7"/>
          </w:tcPr>
          <w:p>
            <w:pPr>
              <w:spacing w:after="0" w:line="168"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filed with the SEC on June 16, 2021).</w:t>
              </w:r>
            </w:hyperlink>
          </w:p>
        </w:tc>
        <w:tc>
          <w:tcPr>
            <w:tcW w:w="542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2"/>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2"/>
                <w:szCs w:val="22"/>
                <w:color w:val="auto"/>
              </w:rPr>
            </w:pPr>
          </w:p>
        </w:tc>
        <w:tc>
          <w:tcPr>
            <w:tcW w:w="8520" w:type="dxa"/>
            <w:vAlign w:val="bottom"/>
            <w:gridSpan w:val="43"/>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Amended and Restated Employment Agreement, dated October 22, 2021, between Context Therapeutics Inc. and</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4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Martin Lehr (incorporated by reference to Exhibit 10.1 to the Company’s Current Report on Form 8-K (File No.</w:t>
              </w:r>
            </w:hyperlink>
          </w:p>
        </w:tc>
        <w:tc>
          <w:tcPr>
            <w:tcW w:w="360" w:type="dxa"/>
            <w:vAlign w:val="bottom"/>
            <w:gridSpan w:val="18"/>
          </w:tcPr>
          <w:p>
            <w:pPr>
              <w:jc w:val="right"/>
              <w:ind w:right="100"/>
              <w:spacing w:after="0" w:line="154" w:lineRule="exact"/>
              <w:rPr>
                <w:rFonts w:ascii="Times New Roman" w:cs="Times New Roman" w:eastAsia="Times New Roman" w:hAnsi="Times New Roman"/>
                <w:sz w:val="17"/>
                <w:szCs w:val="17"/>
                <w:color w:val="0000FF"/>
                <w:w w:val="76"/>
              </w:rPr>
            </w:pPr>
            <w:hyperlink r:id="rId135">
              <w:r>
                <w:rPr>
                  <w:rFonts w:ascii="Times New Roman" w:cs="Times New Roman" w:eastAsia="Times New Roman" w:hAnsi="Times New Roman"/>
                  <w:sz w:val="17"/>
                  <w:szCs w:val="17"/>
                  <w:color w:val="0000FF"/>
                  <w:w w:val="76"/>
                </w:rPr>
                <w:t>001-</w:t>
              </w:r>
            </w:hyperlink>
          </w:p>
        </w:tc>
        <w:tc>
          <w:tcPr>
            <w:tcW w:w="20" w:type="dxa"/>
            <w:vAlign w:val="bottom"/>
          </w:tcPr>
          <w:p>
            <w:pPr>
              <w:spacing w:after="0"/>
              <w:rPr>
                <w:sz w:val="13"/>
                <w:szCs w:val="13"/>
                <w:color w:val="auto"/>
              </w:rPr>
            </w:pPr>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40" w:type="dxa"/>
            <w:vAlign w:val="bottom"/>
            <w:tcBorders>
              <w:top w:val="single" w:sz="8" w:color="0000FF"/>
              <w:bottom w:val="single" w:sz="8" w:color="0000FF"/>
            </w:tcBorders>
            <w:gridSpan w:val="10"/>
          </w:tcPr>
          <w:p>
            <w:pPr>
              <w:spacing w:after="0" w:line="168" w:lineRule="exact"/>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40654)</w:t>
              </w:r>
              <w:r>
                <w:rPr>
                  <w:rFonts w:ascii="Times New Roman" w:cs="Times New Roman" w:eastAsia="Times New Roman" w:hAnsi="Times New Roman"/>
                  <w:sz w:val="18"/>
                  <w:szCs w:val="18"/>
                  <w:u w:val="single" w:color="auto"/>
                  <w:color w:val="0000FF"/>
                  <w:w w:val="98"/>
                </w:rPr>
                <w:t>,</w:t>
              </w:r>
              <w:r>
                <w:rPr>
                  <w:rFonts w:ascii="Times New Roman" w:cs="Times New Roman" w:eastAsia="Times New Roman" w:hAnsi="Times New Roman"/>
                  <w:sz w:val="18"/>
                  <w:szCs w:val="18"/>
                  <w:color w:val="0000FF"/>
                  <w:w w:val="98"/>
                </w:rPr>
                <w:t xml:space="preserve"> as filed with the SEC on October 22, 2021).</w:t>
              </w:r>
            </w:hyperlink>
          </w:p>
        </w:tc>
        <w:tc>
          <w:tcPr>
            <w:tcW w:w="4740" w:type="dxa"/>
            <w:vAlign w:val="bottom"/>
            <w:tcBorders>
              <w:top w:val="single" w:sz="8" w:color="0000FF"/>
            </w:tcBorders>
            <w:gridSpan w:val="3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2"/>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2"/>
                <w:szCs w:val="22"/>
                <w:color w:val="auto"/>
              </w:rPr>
            </w:pPr>
          </w:p>
        </w:tc>
        <w:tc>
          <w:tcPr>
            <w:tcW w:w="8520" w:type="dxa"/>
            <w:vAlign w:val="bottom"/>
            <w:gridSpan w:val="43"/>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Employment Agreement, dated November 1, 2021, between Context Therapeutics Inc. and Jennifer Minai-Azary</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0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(incorporated by reference to Exhibit 10.1 to the Company’s Current Report on Form 8-K (File No. 001-40654),</w:t>
              </w:r>
            </w:hyperlink>
          </w:p>
        </w:tc>
        <w:tc>
          <w:tcPr>
            <w:tcW w:w="420" w:type="dxa"/>
            <w:vAlign w:val="bottom"/>
            <w:gridSpan w:val="21"/>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as</w:t>
              </w:r>
            </w:hyperlink>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40" w:type="dxa"/>
            <w:vAlign w:val="bottom"/>
            <w:tcBorders>
              <w:top w:val="single" w:sz="8" w:color="0000FF"/>
              <w:bottom w:val="single" w:sz="8" w:color="0000FF"/>
            </w:tcBorders>
            <w:gridSpan w:val="9"/>
          </w:tcPr>
          <w:p>
            <w:pPr>
              <w:spacing w:after="0" w:line="168"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filed with the SEC on November 1, 2021).</w:t>
              </w:r>
            </w:hyperlink>
          </w:p>
        </w:tc>
        <w:tc>
          <w:tcPr>
            <w:tcW w:w="522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62"/>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22"/>
                <w:szCs w:val="22"/>
                <w:color w:val="auto"/>
              </w:rPr>
            </w:pPr>
          </w:p>
        </w:tc>
        <w:tc>
          <w:tcPr>
            <w:tcW w:w="83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Employment Agreement, dated October 22, 2021, between Context Therapeutics Inc. and Alex Levit (incorporated</w:t>
              </w:r>
            </w:hyperlink>
          </w:p>
        </w:tc>
        <w:tc>
          <w:tcPr>
            <w:tcW w:w="220" w:type="dxa"/>
            <w:vAlign w:val="bottom"/>
            <w:gridSpan w:val="11"/>
          </w:tcPr>
          <w:p>
            <w:pPr>
              <w:spacing w:after="0"/>
              <w:rPr>
                <w:sz w:val="22"/>
                <w:szCs w:val="22"/>
                <w:color w:val="auto"/>
              </w:rPr>
            </w:pPr>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gridSpan w:val="43"/>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by reference to Exhibit 10.17 to the Company's Annual Report on Form 10-K (File No. 001-40654), as filed with the</w:t>
              </w:r>
            </w:hyperlink>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Borders>
              <w:top w:val="single" w:sz="8" w:color="0000FF"/>
              <w:bottom w:val="single" w:sz="8" w:color="0000FF"/>
            </w:tcBorders>
          </w:tcPr>
          <w:p>
            <w:pPr>
              <w:spacing w:after="0" w:line="168" w:lineRule="exact"/>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SEC on March 23, 2022).</w:t>
              </w:r>
            </w:hyperlink>
          </w:p>
        </w:tc>
        <w:tc>
          <w:tcPr>
            <w:tcW w:w="6580" w:type="dxa"/>
            <w:vAlign w:val="bottom"/>
            <w:tcBorders>
              <w:top w:val="single" w:sz="8" w:color="0000FF"/>
            </w:tcBorders>
            <w:gridSpan w:val="3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02"/>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24"/>
                <w:szCs w:val="24"/>
                <w:color w:val="auto"/>
              </w:rPr>
            </w:pPr>
          </w:p>
        </w:tc>
        <w:tc>
          <w:tcPr>
            <w:tcW w:w="8520" w:type="dxa"/>
            <w:vAlign w:val="bottom"/>
            <w:gridSpan w:val="4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Employment Agreement, dated June 9, 2025, between Context Therapeutics Inc. and Karen Chagin, M.D.</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(incorporated by reference to Exhibit 10.3 to the Company’s Quarterly Report on Form 10-Q (File No. 001</w:t>
              </w:r>
            </w:hyperlink>
          </w:p>
        </w:tc>
        <w:tc>
          <w:tcPr>
            <w:tcW w:w="740" w:type="dxa"/>
            <w:vAlign w:val="bottom"/>
            <w:gridSpan w:val="20"/>
          </w:tcPr>
          <w:p>
            <w:pPr>
              <w:jc w:val="right"/>
              <w:ind w:right="80"/>
              <w:spacing w:after="0" w:line="154"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-40654),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00" w:type="dxa"/>
            <w:vAlign w:val="bottom"/>
            <w:tcBorders>
              <w:top w:val="single" w:sz="8" w:color="0000FF"/>
            </w:tcBorders>
            <w:gridSpan w:val="32"/>
          </w:tcPr>
          <w:p>
            <w:pPr>
              <w:spacing w:after="0" w:line="168"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as filed with the SEC on August 6, 2025).</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20" w:type="dxa"/>
            <w:vAlign w:val="bottom"/>
            <w:gridSpan w:val="4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Registration Rights Agreement, dated December 1, 2021, by and between Context Therapeutics Inc. and the</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4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purchasers named therein (incorporated by reference to Exhibit 10.4 to the Company’s Quarterly Report on</w:t>
              </w:r>
            </w:hyperlink>
          </w:p>
        </w:tc>
        <w:tc>
          <w:tcPr>
            <w:tcW w:w="780" w:type="dxa"/>
            <w:vAlign w:val="bottom"/>
            <w:gridSpan w:val="25"/>
          </w:tcPr>
          <w:p>
            <w:pPr>
              <w:jc w:val="right"/>
              <w:ind w:right="120"/>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Form 10-</w:t>
              </w:r>
            </w:hyperlink>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Borders>
              <w:top w:val="single" w:sz="8" w:color="0000FF"/>
              <w:bottom w:val="single" w:sz="8" w:color="0000FF"/>
            </w:tcBorders>
            <w:gridSpan w:val="12"/>
          </w:tcPr>
          <w:p>
            <w:pPr>
              <w:spacing w:after="0" w:line="168"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Q (File No. 001-40654), as filed with the SEC on December 2, 2021).</w:t>
              </w:r>
            </w:hyperlink>
          </w:p>
        </w:tc>
        <w:tc>
          <w:tcPr>
            <w:tcW w:w="3460" w:type="dxa"/>
            <w:vAlign w:val="bottom"/>
            <w:tcBorders>
              <w:top w:val="single" w:sz="8" w:color="0000FF"/>
            </w:tcBorders>
            <w:gridSpan w:val="2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6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20" w:type="dxa"/>
            <w:vAlign w:val="bottom"/>
            <w:gridSpan w:val="4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Development and Manufacturing Services Agreement, dated November 7, 2022, between Lonza Sales AG, Lonza</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60" w:type="dxa"/>
            <w:vAlign w:val="bottom"/>
            <w:tcBorders>
              <w:top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AG and Context Therapeutics Inc. (incorporated by reference to Exhibit 10.3 to the Company’s Quarterly Report</w:t>
              </w:r>
            </w:hyperlink>
          </w:p>
        </w:tc>
        <w:tc>
          <w:tcPr>
            <w:tcW w:w="360" w:type="dxa"/>
            <w:vAlign w:val="bottom"/>
            <w:gridSpan w:val="18"/>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on</w:t>
              </w:r>
            </w:hyperlink>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60" w:type="dxa"/>
            <w:vAlign w:val="bottom"/>
            <w:tcBorders>
              <w:top w:val="single" w:sz="8" w:color="0000FF"/>
            </w:tcBorders>
            <w:gridSpan w:val="35"/>
          </w:tcPr>
          <w:p>
            <w:pPr>
              <w:spacing w:after="0" w:line="168"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10-Q (File No. 001-40654), as filed with the SEC on November 9, 2022).</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20" w:type="dxa"/>
            <w:vAlign w:val="bottom"/>
            <w:gridSpan w:val="43"/>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First Amendment to the Development and Manufacturing Services Agreement, dated January 9, 2025, between</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6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Lonza Sales AG, Lonza AG and Context Therapeutics Inc. (incorporated by reference to Exhibit 10.15 to the</w:t>
              </w:r>
            </w:hyperlink>
          </w:p>
        </w:tc>
        <w:tc>
          <w:tcPr>
            <w:tcW w:w="2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80" w:type="dxa"/>
            <w:vAlign w:val="bottom"/>
            <w:tcBorders>
              <w:top w:val="single" w:sz="8" w:color="0000FF"/>
              <w:bottom w:val="single" w:sz="8" w:color="0000FF"/>
            </w:tcBorders>
            <w:gridSpan w:val="16"/>
          </w:tcPr>
          <w:p>
            <w:pPr>
              <w:spacing w:after="0" w:line="168"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Company’s Annual Report on Form 10-K (File No. 001-40654), as filed with the SEC on March 20, 2025).</w:t>
              </w:r>
            </w:hyperlink>
          </w:p>
        </w:tc>
        <w:tc>
          <w:tcPr>
            <w:tcW w:w="120" w:type="dxa"/>
            <w:vAlign w:val="bottom"/>
            <w:tcBorders>
              <w:top w:val="single" w:sz="8" w:color="0000FF"/>
            </w:tcBorders>
            <w:gridSpan w:val="3"/>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6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20" w:type="dxa"/>
            <w:vAlign w:val="bottom"/>
            <w:gridSpan w:val="43"/>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License Agreement, dated November 7, 2022, between Lonza Sales AG and Context Therapeutics Inc. (incorporated</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tcBorders>
            <w:gridSpan w:val="39"/>
          </w:tcPr>
          <w:p>
            <w:pPr>
              <w:spacing w:after="0" w:line="15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by reference to Exhibit 10.4 to the Company’s Quarterly Report on Form 10-Q (File No. 001-40654), as filed with</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tcBorders>
              <w:top w:val="single" w:sz="8" w:color="0000FF"/>
              <w:bottom w:val="single" w:sz="8" w:color="0000FF"/>
            </w:tcBorders>
            <w:gridSpan w:val="4"/>
          </w:tcPr>
          <w:p>
            <w:pPr>
              <w:spacing w:after="0" w:line="168"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the SEC on November 9, 2022).</w:t>
              </w:r>
            </w:hyperlink>
          </w:p>
        </w:tc>
        <w:tc>
          <w:tcPr>
            <w:tcW w:w="5880" w:type="dxa"/>
            <w:vAlign w:val="bottom"/>
            <w:tcBorders>
              <w:top w:val="single" w:sz="8" w:color="0000FF"/>
            </w:tcBorders>
            <w:gridSpan w:val="23"/>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r>
      <w:tr>
        <w:trPr>
          <w:trHeight w:val="26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20" w:type="dxa"/>
            <w:vAlign w:val="bottom"/>
            <w:gridSpan w:val="43"/>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No. 1 to License Agreement, dated November 3, 2025, between Lonza Sales AG and Context</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gridSpan w:val="43"/>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Therapeutics Inc. (incorporated by reference to Exhibit 10.1 to the Company's Quarterly Report on Form 10-Q (File</w:t>
              </w:r>
            </w:hyperlink>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40" w:type="dxa"/>
            <w:vAlign w:val="bottom"/>
            <w:tcBorders>
              <w:top w:val="single" w:sz="8" w:color="0000FF"/>
            </w:tcBorders>
            <w:gridSpan w:val="34"/>
          </w:tcPr>
          <w:p>
            <w:pPr>
              <w:spacing w:after="0" w:line="168"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No. 001-40654), as filed with the SEC on November 5, 2025).</w:t>
              </w:r>
            </w:hyperlink>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3500" w:type="dxa"/>
            <w:vAlign w:val="bottom"/>
            <w:gridSpan w:val="9"/>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20" w:type="dxa"/>
            <w:vAlign w:val="bottom"/>
            <w:gridSpan w:val="4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License Agreement, dated November 3, 2025, between Lonza Sales AG and Context Therapeutics Inc. (incorporated</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tcBorders>
            <w:gridSpan w:val="39"/>
          </w:tcPr>
          <w:p>
            <w:pPr>
              <w:spacing w:after="0" w:line="154"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by reference to Exhibit 10.2 to the Company's Quarterly Report on Form 10-Q (File No. 001-40654), as filed with</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3"/>
          </w:tcPr>
          <w:p>
            <w:pPr>
              <w:spacing w:after="0" w:line="168"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the SEC on November 5, 2025).</w:t>
              </w:r>
            </w:hyperlink>
          </w:p>
        </w:tc>
        <w:tc>
          <w:tcPr>
            <w:tcW w:w="5880" w:type="dxa"/>
            <w:vAlign w:val="bottom"/>
            <w:tcBorders>
              <w:top w:val="single" w:sz="8" w:color="0000FF"/>
            </w:tcBorders>
            <w:gridSpan w:val="23"/>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r>
      <w:tr>
        <w:trPr>
          <w:trHeight w:val="26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20" w:type="dxa"/>
            <w:vAlign w:val="bottom"/>
            <w:gridSpan w:val="43"/>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Registration Rights Agreement, dated May 1, 2024, by and between the Company and the Purchasers named therein</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tcBorders>
            <w:gridSpan w:val="36"/>
          </w:tcPr>
          <w:p>
            <w:pPr>
              <w:spacing w:after="0" w:line="154"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(incorporated by reference to Exhibit 10.2 to the Company's Current Report on Form 8-K (File No. 001-40654), as</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40" w:type="dxa"/>
            <w:vAlign w:val="bottom"/>
            <w:tcBorders>
              <w:top w:val="single" w:sz="8" w:color="0000FF"/>
            </w:tcBorders>
            <w:gridSpan w:val="29"/>
          </w:tcPr>
          <w:p>
            <w:pPr>
              <w:spacing w:after="0" w:line="168"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filed with the SEC on May 2, 2024).</w:t>
              </w:r>
            </w:hyperlink>
          </w:p>
        </w:tc>
        <w:tc>
          <w:tcPr>
            <w:tcW w:w="26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6"/>
            <w:shd w:val="clear" w:color="auto" w:fill="0000FF"/>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3500" w:type="dxa"/>
            <w:vAlign w:val="bottom"/>
            <w:gridSpan w:val="9"/>
          </w:tcPr>
          <w:p>
            <w:pPr>
              <w:spacing w:after="0" w:line="20" w:lineRule="exact"/>
              <w:rPr>
                <w:sz w:val="1"/>
                <w:szCs w:val="1"/>
                <w:color w:val="auto"/>
              </w:rPr>
            </w:pPr>
          </w:p>
        </w:tc>
        <w:tc>
          <w:tcPr>
            <w:tcW w:w="540" w:type="dxa"/>
            <w:vAlign w:val="bottom"/>
            <w:gridSpan w:val="2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20" w:type="dxa"/>
            <w:vAlign w:val="bottom"/>
            <w:gridSpan w:val="43"/>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Master Services Agreement, dated October 8, 2021, by and between Link Immunotherapeutics, Inc. and Just - Evotec</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60" w:type="dxa"/>
            <w:vAlign w:val="bottom"/>
            <w:tcBorders>
              <w:top w:val="single" w:sz="8" w:color="0000FF"/>
              <w:bottom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Biologics, Inc. (as assigned to the Company on July 9, 2024) (incorporated by reference to Exhibit 10.19 to the</w:t>
              </w:r>
            </w:hyperlink>
          </w:p>
        </w:tc>
        <w:tc>
          <w:tcPr>
            <w:tcW w:w="54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r>
    </w:tbl>
    <w:p>
      <w:pPr>
        <w:jc w:val="center"/>
        <w:ind w:right="-2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Company’s Annual Report on Form 10-K (File No. 001-40654), as filed with the SEC on March 20, 2025).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40" w:type="dxa"/>
            <w:vAlign w:val="bottom"/>
            <w:gridSpan w:val="13"/>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5"/>
        </w:trPr>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2"/>
        </w:trPr>
        <w:tc>
          <w:tcPr>
            <w:tcW w:w="11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40" w:type="dxa"/>
            <w:vAlign w:val="bottom"/>
            <w:tcBorders>
              <w:bottom w:val="single" w:sz="8" w:color="0000FF"/>
            </w:tcBorders>
            <w:gridSpan w:val="10"/>
          </w:tcPr>
          <w:p>
            <w:pPr>
              <w:spacing w:after="0" w:line="182"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Asset Purchase Agreement, dated July 9, 2024, by and between Company and Link (assignment for the benefit of</w:t>
              </w:r>
            </w:hyperlink>
          </w:p>
        </w:tc>
        <w:tc>
          <w:tcPr>
            <w:tcW w:w="300" w:type="dxa"/>
            <w:vAlign w:val="bottom"/>
            <w:gridSpan w:val="7"/>
          </w:tcPr>
          <w:p>
            <w:pPr>
              <w:spacing w:after="0"/>
              <w:rPr>
                <w:sz w:val="15"/>
                <w:szCs w:val="15"/>
                <w:color w:val="auto"/>
              </w:rPr>
            </w:pPr>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gridSpan w:val="17"/>
          </w:tcPr>
          <w:p>
            <w:pPr>
              <w:spacing w:after="0" w:line="154"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creditors), LLC (incorporated by reference to Exhibit 10.1 to the Company's Current Report on Form 8-K (File No.</w:t>
              </w:r>
            </w:hyperlink>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60" w:type="dxa"/>
            <w:vAlign w:val="bottom"/>
            <w:tcBorders>
              <w:top w:val="single" w:sz="8" w:color="0000FF"/>
            </w:tcBorders>
            <w:gridSpan w:val="12"/>
          </w:tcPr>
          <w:p>
            <w:pPr>
              <w:spacing w:after="0" w:line="168"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001-40654), as filed with the SEC on July 10, 2024).</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22"/>
                <w:szCs w:val="22"/>
                <w:color w:val="auto"/>
              </w:rPr>
            </w:pPr>
          </w:p>
        </w:tc>
        <w:tc>
          <w:tcPr>
            <w:tcW w:w="8440" w:type="dxa"/>
            <w:vAlign w:val="bottom"/>
            <w:gridSpan w:val="17"/>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Stock Option Agreement (Inducement Grant) of Context Therapeutics Inc. (incorporated by reference to</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Exhibit 10.5 to the Company's Quarterly Report on Form 10-Q (File No. 001-40654), as filed with the SEC on</w:t>
              </w:r>
            </w:hyperlink>
          </w:p>
        </w:tc>
        <w:tc>
          <w:tcPr>
            <w:tcW w:w="4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Borders>
              <w:top w:val="single" w:sz="8" w:color="0000FF"/>
              <w:bottom w:val="single" w:sz="8" w:color="0000FF"/>
            </w:tcBorders>
          </w:tcPr>
          <w:p>
            <w:pPr>
              <w:spacing w:after="0" w:line="168" w:lineRule="exact"/>
              <w:rPr>
                <w:rFonts w:ascii="Times New Roman" w:cs="Times New Roman" w:eastAsia="Times New Roman" w:hAnsi="Times New Roman"/>
                <w:sz w:val="18"/>
                <w:szCs w:val="18"/>
                <w:color w:val="0000FF"/>
                <w:w w:val="97"/>
              </w:rPr>
            </w:pPr>
            <w:hyperlink r:id="rId148">
              <w:r>
                <w:rPr>
                  <w:rFonts w:ascii="Times New Roman" w:cs="Times New Roman" w:eastAsia="Times New Roman" w:hAnsi="Times New Roman"/>
                  <w:sz w:val="18"/>
                  <w:szCs w:val="18"/>
                  <w:color w:val="0000FF"/>
                  <w:w w:val="97"/>
                </w:rPr>
                <w:t>August 7, 2024).</w:t>
              </w:r>
            </w:hyperlink>
          </w:p>
        </w:tc>
        <w:tc>
          <w:tcPr>
            <w:tcW w:w="6720" w:type="dxa"/>
            <w:vAlign w:val="bottom"/>
            <w:tcBorders>
              <w:top w:val="single" w:sz="8" w:color="0000FF"/>
            </w:tcBorders>
            <w:gridSpan w:val="5"/>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2"/>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22"/>
                <w:szCs w:val="22"/>
                <w:color w:val="auto"/>
              </w:rPr>
            </w:pPr>
          </w:p>
        </w:tc>
        <w:tc>
          <w:tcPr>
            <w:tcW w:w="8440" w:type="dxa"/>
            <w:vAlign w:val="bottom"/>
            <w:gridSpan w:val="17"/>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Form of Stock Option Agreement under the Context Therapeutics Inc. 2021 Long-Term Incentive Plan (incorporated</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by reference to Exhibit 10.6 to the Company's Quarterly Report on Form 10-Q (File No. 001-40654), as filed with</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3"/>
          </w:tcPr>
          <w:p>
            <w:pPr>
              <w:spacing w:after="0" w:line="168"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the SEC on August 7, 2024).</w:t>
              </w:r>
            </w:hyperlink>
          </w:p>
        </w:tc>
        <w:tc>
          <w:tcPr>
            <w:tcW w:w="6100" w:type="dxa"/>
            <w:vAlign w:val="bottom"/>
            <w:tcBorders>
              <w:top w:val="single" w:sz="8" w:color="0000FF"/>
            </w:tcBorders>
            <w:gridSpan w:val="8"/>
          </w:tcPr>
          <w:p>
            <w:pPr>
              <w:spacing w:after="0"/>
              <w:rPr>
                <w:sz w:val="14"/>
                <w:szCs w:val="14"/>
                <w:color w:val="auto"/>
              </w:rPr>
            </w:pP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6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40" w:type="dxa"/>
            <w:vAlign w:val="bottom"/>
            <w:gridSpan w:val="17"/>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License Agreement, dated September 23, 2024, by and between the Company and BioAtla, Inc. (incorporated by</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tcBorders>
              <w:top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reference to Exhibit 10.1 to the Company's Current Report on Form 8-K (File No. 001-40654), as filed with the</w:t>
              </w:r>
            </w:hyperlink>
          </w:p>
        </w:tc>
        <w:tc>
          <w:tcPr>
            <w:tcW w:w="360" w:type="dxa"/>
            <w:vAlign w:val="bottom"/>
            <w:gridSpan w:val="10"/>
          </w:tcPr>
          <w:p>
            <w:pPr>
              <w:spacing w:after="0" w:line="154"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SEC</w:t>
              </w:r>
            </w:hyperlink>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60" w:type="dxa"/>
            <w:vAlign w:val="bottom"/>
            <w:tcBorders>
              <w:top w:val="single" w:sz="8" w:color="0000FF"/>
            </w:tcBorders>
            <w:gridSpan w:val="14"/>
          </w:tcPr>
          <w:p>
            <w:pPr>
              <w:spacing w:after="0" w:line="168"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on September 23, 2024).</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Sales Agreement, dated as of December 2, 2024, by and between Context Therapeutics Inc. and Leerink Partners</w:t>
              </w:r>
            </w:hyperlink>
          </w:p>
        </w:tc>
        <w:tc>
          <w:tcPr>
            <w:tcW w:w="340" w:type="dxa"/>
            <w:vAlign w:val="bottom"/>
            <w:gridSpan w:val="9"/>
          </w:tcPr>
          <w:p>
            <w:pPr>
              <w:spacing w:after="0"/>
              <w:rPr>
                <w:sz w:val="22"/>
                <w:szCs w:val="22"/>
                <w:color w:val="auto"/>
              </w:rPr>
            </w:pPr>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gridSpan w:val="17"/>
          </w:tcPr>
          <w:p>
            <w:pPr>
              <w:spacing w:after="0" w:line="154"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LLC (incorporated by reference to Exhibit 10.1 to the Company’s Current Report on Form 8-K (File No. 001-40654),</w:t>
              </w:r>
            </w:hyperlink>
          </w:p>
        </w:tc>
      </w:tr>
      <w:tr>
        <w:trPr>
          <w:trHeight w:val="168"/>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20" w:type="dxa"/>
            <w:vAlign w:val="bottom"/>
            <w:tcBorders>
              <w:top w:val="single" w:sz="8" w:color="0000FF"/>
            </w:tcBorders>
            <w:gridSpan w:val="16"/>
          </w:tcPr>
          <w:p>
            <w:pPr>
              <w:spacing w:after="0" w:line="168"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as filed with the SEC on December 2, 2024).</w:t>
              </w:r>
            </w:hyperlink>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514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40" w:type="dxa"/>
            <w:vAlign w:val="bottom"/>
            <w:gridSpan w:val="17"/>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Amendment No. 1 to Sales Agreement, dated as of October 24, 2025, by and between Context Therapeutics Inc. and</w:t>
              </w:r>
            </w:hyperlink>
          </w:p>
        </w:tc>
      </w:tr>
      <w:tr>
        <w:trPr>
          <w:trHeight w:val="155"/>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40" w:type="dxa"/>
            <w:vAlign w:val="bottom"/>
            <w:tcBorders>
              <w:top w:val="single" w:sz="8" w:color="0000FF"/>
              <w:bottom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Leerink Partners LLC (incorporated by reference to Exhibit 10.1 to the Company’s Current Report on Form 8-K (File</w:t>
              </w:r>
            </w:hyperlink>
          </w:p>
        </w:tc>
        <w:tc>
          <w:tcPr>
            <w:tcW w:w="8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bl>
    <w:p>
      <w:pPr>
        <w:ind w:left="124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No. 001-40654), as filed with the SEC on October 24, 2025).</w:t>
        </w:r>
      </w:hyperlink>
    </w:p>
    <w:p>
      <w:pPr>
        <w:spacing w:after="0" w:line="57" w:lineRule="exact"/>
        <w:rPr>
          <w:sz w:val="20"/>
          <w:szCs w:val="20"/>
          <w:color w:val="auto"/>
        </w:rPr>
      </w:pPr>
    </w:p>
    <w:p>
      <w:pPr>
        <w:ind w:left="1240" w:right="1440" w:hanging="1215"/>
        <w:spacing w:after="0" w:line="236" w:lineRule="auto"/>
        <w:tabs>
          <w:tab w:leader="none" w:pos="1240" w:val="left"/>
        </w:tabs>
        <w:numPr>
          <w:ilvl w:val="0"/>
          <w:numId w:val="41"/>
        </w:numPr>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Context Therapeutics Inc. Insider Trading Policy (incorporated by reference to Exhibit 19 to the Company’s Annual</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Report on Form 10-K (File No. 001-40654), as filed with the SEC on March 20, 2025).</w:t>
        </w:r>
      </w:hyperlink>
    </w:p>
    <w:p>
      <w:pPr>
        <w:spacing w:after="0" w:line="49"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8360" w:type="dxa"/>
            <w:vAlign w:val="bottom"/>
            <w:gridSpan w:val="7"/>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Subsidiaries of the Company (incorporated by reference to Exhibit 21.1 to the Company’s Registration Statement on</w:t>
              </w:r>
            </w:hyperlink>
          </w:p>
        </w:tc>
      </w:tr>
      <w:tr>
        <w:trPr>
          <w:trHeight w:val="155"/>
        </w:trPr>
        <w:tc>
          <w:tcPr>
            <w:tcW w:w="1220" w:type="dxa"/>
            <w:vAlign w:val="bottom"/>
          </w:tcPr>
          <w:p>
            <w:pPr>
              <w:spacing w:after="0"/>
              <w:rPr>
                <w:sz w:val="13"/>
                <w:szCs w:val="13"/>
                <w:color w:val="auto"/>
              </w:rPr>
            </w:pPr>
          </w:p>
        </w:tc>
        <w:tc>
          <w:tcPr>
            <w:tcW w:w="8340" w:type="dxa"/>
            <w:vAlign w:val="bottom"/>
            <w:tcBorders>
              <w:top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Form S-1 (File No. 333-256572), as filed with the SEC on May 27, 2021).</w:t>
              </w:r>
            </w:hyperlink>
          </w:p>
        </w:tc>
        <w:tc>
          <w:tcPr>
            <w:tcW w:w="20" w:type="dxa"/>
            <w:vAlign w:val="bottom"/>
          </w:tcPr>
          <w:p>
            <w:pPr>
              <w:spacing w:after="0"/>
              <w:rPr>
                <w:sz w:val="13"/>
                <w:szCs w:val="13"/>
                <w:color w:val="auto"/>
              </w:rPr>
            </w:pPr>
          </w:p>
        </w:tc>
      </w:tr>
      <w:tr>
        <w:trPr>
          <w:trHeight w:val="27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3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Consent of CohnReznick LLP.</w:t>
            </w:r>
          </w:p>
        </w:tc>
        <w:tc>
          <w:tcPr>
            <w:tcW w:w="3040" w:type="dxa"/>
            <w:vAlign w:val="bottom"/>
            <w:gridSpan w:val="5"/>
          </w:tcPr>
          <w:p>
            <w:pPr>
              <w:spacing w:after="0"/>
              <w:rPr>
                <w:sz w:val="23"/>
                <w:szCs w:val="23"/>
                <w:color w:val="auto"/>
              </w:rPr>
            </w:pPr>
          </w:p>
        </w:tc>
      </w:tr>
      <w:tr>
        <w:trPr>
          <w:trHeight w:val="20"/>
        </w:trPr>
        <w:tc>
          <w:tcPr>
            <w:tcW w:w="12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6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or 15a-14(a) under the Exchange Act.</w:t>
            </w:r>
          </w:p>
        </w:tc>
        <w:tc>
          <w:tcPr>
            <w:tcW w:w="780" w:type="dxa"/>
            <w:vAlign w:val="bottom"/>
            <w:gridSpan w:val="3"/>
          </w:tcPr>
          <w:p>
            <w:pPr>
              <w:spacing w:after="0"/>
              <w:rPr>
                <w:sz w:val="22"/>
                <w:szCs w:val="22"/>
                <w:color w:val="auto"/>
              </w:rPr>
            </w:pPr>
          </w:p>
        </w:tc>
      </w:tr>
      <w:tr>
        <w:trPr>
          <w:trHeight w:val="26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or 15a-14(a) under the Exchange Act.</w:t>
            </w:r>
          </w:p>
        </w:tc>
      </w:tr>
      <w:tr>
        <w:trPr>
          <w:trHeight w:val="20"/>
        </w:trPr>
        <w:tc>
          <w:tcPr>
            <w:tcW w:w="1220" w:type="dxa"/>
            <w:vAlign w:val="bottom"/>
          </w:tcPr>
          <w:p>
            <w:pPr>
              <w:spacing w:after="0" w:line="20" w:lineRule="exact"/>
              <w:rPr>
                <w:sz w:val="1"/>
                <w:szCs w:val="1"/>
                <w:color w:val="auto"/>
              </w:rPr>
            </w:pPr>
          </w:p>
        </w:tc>
        <w:tc>
          <w:tcPr>
            <w:tcW w:w="752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6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8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Certification pursuant to 18 U.S.C. Section 1350 of principal executive officer and principal financial officer.</w:t>
            </w:r>
          </w:p>
        </w:tc>
        <w:tc>
          <w:tcPr>
            <w:tcW w:w="540" w:type="dxa"/>
            <w:vAlign w:val="bottom"/>
            <w:gridSpan w:val="2"/>
          </w:tcPr>
          <w:p>
            <w:pPr>
              <w:spacing w:after="0"/>
              <w:rPr>
                <w:sz w:val="22"/>
                <w:szCs w:val="22"/>
                <w:color w:val="auto"/>
              </w:rPr>
            </w:pPr>
          </w:p>
        </w:tc>
      </w:tr>
    </w:tbl>
    <w:p>
      <w:pPr>
        <w:spacing w:after="0" w:line="76" w:lineRule="exact"/>
        <w:rPr>
          <w:sz w:val="20"/>
          <w:szCs w:val="20"/>
          <w:color w:val="auto"/>
        </w:rPr>
      </w:pPr>
    </w:p>
    <w:p>
      <w:pPr>
        <w:ind w:left="1240" w:right="1360" w:hanging="1215"/>
        <w:spacing w:after="0" w:line="236" w:lineRule="auto"/>
        <w:tabs>
          <w:tab w:leader="none" w:pos="1240" w:val="left"/>
        </w:tabs>
        <w:numPr>
          <w:ilvl w:val="0"/>
          <w:numId w:val="42"/>
        </w:numPr>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Context Therapeutics Inc. Compensation Recovery Policy (incorporated by reference to Exhibit 97 to the Company’s</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Annual Report on Form 10-K, as filed with the SEC on March 21, 2024).</w:t>
        </w:r>
      </w:hyperlink>
    </w:p>
    <w:p>
      <w:pPr>
        <w:spacing w:after="0" w:line="63" w:lineRule="exact"/>
        <w:rPr>
          <w:rFonts w:ascii="Times New Roman" w:cs="Times New Roman" w:eastAsia="Times New Roman" w:hAnsi="Times New Roman"/>
          <w:sz w:val="18"/>
          <w:szCs w:val="18"/>
          <w:color w:val="auto"/>
        </w:rPr>
      </w:pPr>
    </w:p>
    <w:p>
      <w:pPr>
        <w:ind w:left="1240" w:right="1380" w:hanging="1215"/>
        <w:spacing w:after="0" w:line="219" w:lineRule="auto"/>
        <w:tabs>
          <w:tab w:leader="none" w:pos="1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Context Therapeutics Inc.’s Annual Report on Form 10-K for the fiscal year ended December 31, 2025, formatted in Inline XBRL (eXtensible Business Reporting Language): (i) Consolidated Balance Sheets; (ii) Consolidated Statements of Operations; (iii) Consolidated Statements of Changes in Stockholders’ Equity; (iv) Consolidated Statements of Cash Flows; (v) Notes to the Consolidated Financial Statements and (vi) information regarding trading arrangements set forth in Part II, Item 9B.</w:t>
      </w:r>
    </w:p>
    <w:p>
      <w:pPr>
        <w:sectPr>
          <w:pgSz w:w="11900" w:h="16838" w:orient="portrait"/>
          <w:cols w:equalWidth="0" w:num="1">
            <w:col w:w="11000"/>
          </w:cols>
          <w:pgMar w:left="320" w:top="121" w:right="579" w:bottom="1440" w:gutter="0" w:footer="0" w:header="0"/>
        </w:sectPr>
      </w:pPr>
    </w:p>
    <w:p>
      <w:pPr>
        <w:spacing w:after="0" w:line="63"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4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11" w:lineRule="exact"/>
        <w:rPr>
          <w:rFonts w:ascii="Times New Roman" w:cs="Times New Roman" w:eastAsia="Times New Roman" w:hAnsi="Times New Roman"/>
          <w:sz w:val="18"/>
          <w:szCs w:val="18"/>
          <w:color w:val="auto"/>
        </w:rPr>
      </w:pPr>
    </w:p>
    <w:p>
      <w:pPr>
        <w:sectPr>
          <w:pgSz w:w="11900" w:h="16838" w:orient="portrait"/>
          <w:cols w:equalWidth="0" w:num="2">
            <w:col w:w="520" w:space="720"/>
            <w:col w:w="9760"/>
          </w:cols>
          <w:pgMar w:left="320" w:top="121" w:right="579" w:bottom="1440" w:gutter="0" w:footer="0" w:header="0"/>
          <w:type w:val="continuous"/>
        </w:sectPr>
      </w:pPr>
    </w:p>
    <w:p>
      <w:pPr>
        <w:spacing w:after="0" w:line="14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ectPr>
          <w:pgSz w:w="11900" w:h="16838" w:orient="portrait"/>
          <w:cols w:equalWidth="0" w:num="1">
            <w:col w:w="11000"/>
          </w:cols>
          <w:pgMar w:left="320" w:top="121" w:right="579" w:bottom="1440" w:gutter="0" w:footer="0" w:header="0"/>
          <w:type w:val="continuous"/>
        </w:sectPr>
      </w:pPr>
    </w:p>
    <w:p>
      <w:pPr>
        <w:spacing w:after="0" w:line="2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ind w:left="640" w:hanging="310"/>
        <w:spacing w:after="0"/>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Compensation Plan or Agreement</w:t>
      </w:r>
    </w:p>
    <w:p>
      <w:pPr>
        <w:spacing w:after="0" w:line="1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has been excluded from the exhibit because it both (i) is not material and (ii) is the type that the registrant treats as private or confidential.</w:t>
      </w:r>
    </w:p>
    <w:p>
      <w:pPr>
        <w:spacing w:after="0" w:line="14" w:lineRule="exact"/>
        <w:rPr>
          <w:rFonts w:ascii="Times New Roman" w:cs="Times New Roman" w:eastAsia="Times New Roman" w:hAnsi="Times New Roman"/>
          <w:sz w:val="18"/>
          <w:szCs w:val="18"/>
          <w:color w:val="auto"/>
        </w:rPr>
      </w:pPr>
    </w:p>
    <w:p>
      <w:pPr>
        <w:ind w:left="340" w:hanging="10"/>
        <w:spacing w:after="0" w:line="280" w:lineRule="auto"/>
        <w:tabs>
          <w:tab w:leader="none" w:pos="45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being furnished pursuant to 18 U.S.C. Section 1350 and is not being filed for purposes of Section 18 of the Exchange Act, and is not to be incorporated by reference into any filing of the registrant, whether made before or after the date hereof.</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174625</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CONTEXT THERAPEUTICS INC.</w:t>
      </w:r>
    </w:p>
    <w:p>
      <w:pPr>
        <w:spacing w:after="0" w:line="31" w:lineRule="exact"/>
        <w:rPr>
          <w:sz w:val="20"/>
          <w:szCs w:val="20"/>
          <w:color w:val="auto"/>
        </w:rPr>
      </w:pPr>
    </w:p>
    <w:tbl>
      <w:tblPr>
        <w:tblLayout w:type="fixed"/>
        <w:tblInd w:w="2440" w:type="dxa"/>
        <w:tblCellMar>
          <w:top w:w="0" w:type="dxa"/>
          <w:left w:w="0" w:type="dxa"/>
          <w:bottom w:w="0" w:type="dxa"/>
          <w:right w:w="0" w:type="dxa"/>
        </w:tblCellMar>
      </w:tblPr>
      <w:tr>
        <w:trPr>
          <w:trHeight w:val="228"/>
        </w:trPr>
        <w:tc>
          <w:tcPr>
            <w:tcW w:w="432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 Lehr</w:t>
            </w:r>
          </w:p>
        </w:tc>
      </w:tr>
      <w:tr>
        <w:trPr>
          <w:trHeight w:val="217"/>
        </w:trPr>
        <w:tc>
          <w:tcPr>
            <w:tcW w:w="43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Martin Lehr</w:t>
            </w: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March 23, 2026</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pacing w:after="0" w:line="237"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4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5"/>
        </w:trPr>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4"/>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Martin Lehr</w:t>
            </w:r>
          </w:p>
        </w:tc>
        <w:tc>
          <w:tcPr>
            <w:tcW w:w="100" w:type="dxa"/>
            <w:vAlign w:val="bottom"/>
          </w:tcPr>
          <w:p>
            <w:pPr>
              <w:spacing w:after="0"/>
              <w:rPr>
                <w:sz w:val="24"/>
                <w:szCs w:val="24"/>
                <w:color w:val="auto"/>
              </w:rPr>
            </w:pPr>
          </w:p>
        </w:tc>
        <w:tc>
          <w:tcPr>
            <w:tcW w:w="4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23, 2026</w:t>
            </w:r>
          </w:p>
        </w:tc>
        <w:tc>
          <w:tcPr>
            <w:tcW w:w="0" w:type="dxa"/>
            <w:vAlign w:val="bottom"/>
          </w:tcPr>
          <w:p>
            <w:pPr>
              <w:spacing w:after="0"/>
              <w:rPr>
                <w:sz w:val="1"/>
                <w:szCs w:val="1"/>
                <w:color w:val="auto"/>
              </w:rPr>
            </w:pPr>
          </w:p>
        </w:tc>
      </w:tr>
      <w:tr>
        <w:trPr>
          <w:trHeight w:val="40"/>
        </w:trPr>
        <w:tc>
          <w:tcPr>
            <w:tcW w:w="4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Martin Lehr</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4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8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6"/>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Jennifer Minai-Azary</w:t>
            </w:r>
          </w:p>
        </w:tc>
        <w:tc>
          <w:tcPr>
            <w:tcW w:w="100" w:type="dxa"/>
            <w:vAlign w:val="bottom"/>
          </w:tcPr>
          <w:p>
            <w:pPr>
              <w:spacing w:after="0"/>
              <w:rPr>
                <w:sz w:val="24"/>
                <w:szCs w:val="24"/>
                <w:color w:val="auto"/>
              </w:rPr>
            </w:pPr>
          </w:p>
        </w:tc>
        <w:tc>
          <w:tcPr>
            <w:tcW w:w="4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23, 2026</w:t>
            </w:r>
          </w:p>
        </w:tc>
        <w:tc>
          <w:tcPr>
            <w:tcW w:w="0" w:type="dxa"/>
            <w:vAlign w:val="bottom"/>
          </w:tcPr>
          <w:p>
            <w:pPr>
              <w:spacing w:after="0"/>
              <w:rPr>
                <w:sz w:val="1"/>
                <w:szCs w:val="1"/>
                <w:color w:val="auto"/>
              </w:rPr>
            </w:pPr>
          </w:p>
        </w:tc>
      </w:tr>
      <w:tr>
        <w:trPr>
          <w:trHeight w:val="40"/>
        </w:trPr>
        <w:tc>
          <w:tcPr>
            <w:tcW w:w="4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2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Jennifer Minai-Azary</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4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8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6"/>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Andy Pasternak</w:t>
            </w:r>
          </w:p>
        </w:tc>
        <w:tc>
          <w:tcPr>
            <w:tcW w:w="100" w:type="dxa"/>
            <w:vAlign w:val="bottom"/>
          </w:tcPr>
          <w:p>
            <w:pPr>
              <w:spacing w:after="0"/>
              <w:rPr>
                <w:sz w:val="24"/>
                <w:szCs w:val="24"/>
                <w:color w:val="auto"/>
              </w:rPr>
            </w:pPr>
          </w:p>
        </w:tc>
        <w:tc>
          <w:tcPr>
            <w:tcW w:w="4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23, 2026</w:t>
            </w:r>
          </w:p>
        </w:tc>
        <w:tc>
          <w:tcPr>
            <w:tcW w:w="0" w:type="dxa"/>
            <w:vAlign w:val="bottom"/>
          </w:tcPr>
          <w:p>
            <w:pPr>
              <w:spacing w:after="0"/>
              <w:rPr>
                <w:sz w:val="1"/>
                <w:szCs w:val="1"/>
                <w:color w:val="auto"/>
              </w:rPr>
            </w:pPr>
          </w:p>
        </w:tc>
      </w:tr>
      <w:tr>
        <w:trPr>
          <w:trHeight w:val="88"/>
        </w:trPr>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Andy Pasternak</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4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Philip Kantoff</w:t>
            </w:r>
          </w:p>
        </w:tc>
        <w:tc>
          <w:tcPr>
            <w:tcW w:w="100" w:type="dxa"/>
            <w:vAlign w:val="bottom"/>
          </w:tcPr>
          <w:p>
            <w:pPr>
              <w:spacing w:after="0"/>
              <w:rPr>
                <w:sz w:val="24"/>
                <w:szCs w:val="24"/>
                <w:color w:val="auto"/>
              </w:rPr>
            </w:pPr>
          </w:p>
        </w:tc>
        <w:tc>
          <w:tcPr>
            <w:tcW w:w="4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23, 2026</w:t>
            </w:r>
          </w:p>
        </w:tc>
        <w:tc>
          <w:tcPr>
            <w:tcW w:w="0" w:type="dxa"/>
            <w:vAlign w:val="bottom"/>
          </w:tcPr>
          <w:p>
            <w:pPr>
              <w:spacing w:after="0"/>
              <w:rPr>
                <w:sz w:val="1"/>
                <w:szCs w:val="1"/>
                <w:color w:val="auto"/>
              </w:rPr>
            </w:pPr>
          </w:p>
        </w:tc>
      </w:tr>
      <w:tr>
        <w:trPr>
          <w:trHeight w:val="88"/>
        </w:trPr>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Philip Kantoff</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4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Karen Smith</w:t>
            </w:r>
          </w:p>
        </w:tc>
        <w:tc>
          <w:tcPr>
            <w:tcW w:w="100" w:type="dxa"/>
            <w:vAlign w:val="bottom"/>
          </w:tcPr>
          <w:p>
            <w:pPr>
              <w:spacing w:after="0"/>
              <w:rPr>
                <w:sz w:val="24"/>
                <w:szCs w:val="24"/>
                <w:color w:val="auto"/>
              </w:rPr>
            </w:pPr>
          </w:p>
        </w:tc>
        <w:tc>
          <w:tcPr>
            <w:tcW w:w="4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23, 2026</w:t>
            </w:r>
          </w:p>
        </w:tc>
        <w:tc>
          <w:tcPr>
            <w:tcW w:w="0" w:type="dxa"/>
            <w:vAlign w:val="bottom"/>
          </w:tcPr>
          <w:p>
            <w:pPr>
              <w:spacing w:after="0"/>
              <w:rPr>
                <w:sz w:val="1"/>
                <w:szCs w:val="1"/>
                <w:color w:val="auto"/>
              </w:rPr>
            </w:pPr>
          </w:p>
        </w:tc>
      </w:tr>
      <w:tr>
        <w:trPr>
          <w:trHeight w:val="88"/>
        </w:trPr>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Karen Smith</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4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Evans Stacey</w:t>
            </w:r>
          </w:p>
        </w:tc>
        <w:tc>
          <w:tcPr>
            <w:tcW w:w="100" w:type="dxa"/>
            <w:vAlign w:val="bottom"/>
          </w:tcPr>
          <w:p>
            <w:pPr>
              <w:spacing w:after="0"/>
              <w:rPr>
                <w:sz w:val="24"/>
                <w:szCs w:val="24"/>
                <w:color w:val="auto"/>
              </w:rPr>
            </w:pPr>
          </w:p>
        </w:tc>
        <w:tc>
          <w:tcPr>
            <w:tcW w:w="4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23, 2026</w:t>
            </w:r>
          </w:p>
        </w:tc>
        <w:tc>
          <w:tcPr>
            <w:tcW w:w="0" w:type="dxa"/>
            <w:vAlign w:val="bottom"/>
          </w:tcPr>
          <w:p>
            <w:pPr>
              <w:spacing w:after="0"/>
              <w:rPr>
                <w:sz w:val="1"/>
                <w:szCs w:val="1"/>
                <w:color w:val="auto"/>
              </w:rPr>
            </w:pPr>
          </w:p>
        </w:tc>
      </w:tr>
      <w:tr>
        <w:trPr>
          <w:trHeight w:val="88"/>
        </w:trPr>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Jennifer Evans Stacey</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4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Luke Walker</w:t>
            </w:r>
          </w:p>
        </w:tc>
        <w:tc>
          <w:tcPr>
            <w:tcW w:w="100" w:type="dxa"/>
            <w:vAlign w:val="bottom"/>
          </w:tcPr>
          <w:p>
            <w:pPr>
              <w:spacing w:after="0"/>
              <w:rPr>
                <w:sz w:val="24"/>
                <w:szCs w:val="24"/>
                <w:color w:val="auto"/>
              </w:rPr>
            </w:pPr>
          </w:p>
        </w:tc>
        <w:tc>
          <w:tcPr>
            <w:tcW w:w="4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23, 2026</w:t>
            </w:r>
          </w:p>
        </w:tc>
        <w:tc>
          <w:tcPr>
            <w:tcW w:w="0" w:type="dxa"/>
            <w:vAlign w:val="bottom"/>
          </w:tcPr>
          <w:p>
            <w:pPr>
              <w:spacing w:after="0"/>
              <w:rPr>
                <w:sz w:val="1"/>
                <w:szCs w:val="1"/>
                <w:color w:val="auto"/>
              </w:rPr>
            </w:pPr>
          </w:p>
        </w:tc>
      </w:tr>
      <w:tr>
        <w:trPr>
          <w:trHeight w:val="88"/>
        </w:trPr>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Luke Walker</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4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9"/>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Linda West</w:t>
            </w:r>
          </w:p>
        </w:tc>
        <w:tc>
          <w:tcPr>
            <w:tcW w:w="100" w:type="dxa"/>
            <w:vAlign w:val="bottom"/>
          </w:tcPr>
          <w:p>
            <w:pPr>
              <w:spacing w:after="0"/>
              <w:rPr>
                <w:sz w:val="24"/>
                <w:szCs w:val="24"/>
                <w:color w:val="auto"/>
              </w:rPr>
            </w:pPr>
          </w:p>
        </w:tc>
        <w:tc>
          <w:tcPr>
            <w:tcW w:w="4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6"/>
              </w:rPr>
              <w:t>Director</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23, 2026</w:t>
            </w:r>
          </w:p>
        </w:tc>
        <w:tc>
          <w:tcPr>
            <w:tcW w:w="0" w:type="dxa"/>
            <w:vAlign w:val="bottom"/>
          </w:tcPr>
          <w:p>
            <w:pPr>
              <w:spacing w:after="0"/>
              <w:rPr>
                <w:sz w:val="1"/>
                <w:szCs w:val="1"/>
                <w:color w:val="auto"/>
              </w:rPr>
            </w:pPr>
          </w:p>
        </w:tc>
      </w:tr>
      <w:tr>
        <w:trPr>
          <w:trHeight w:val="88"/>
        </w:trPr>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Linda West</w:t>
            </w:r>
          </w:p>
        </w:tc>
        <w:tc>
          <w:tcPr>
            <w:tcW w:w="10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4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CERTIFICATE OF INCORPORATION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CONTEXT THERAPEUTICS INC.</w:t>
      </w:r>
    </w:p>
    <w:p>
      <w:pPr>
        <w:spacing w:after="0" w:line="21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1"/>
          <w:szCs w:val="21"/>
          <w:b w:val="1"/>
          <w:bCs w:val="1"/>
          <w:color w:val="auto"/>
        </w:rPr>
        <w:t>(Composite document reflecting amendments through March 11, 2026)</w:t>
      </w:r>
    </w:p>
    <w:p>
      <w:pPr>
        <w:spacing w:after="0" w:line="22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name of the Company is Context Therapeutics Inc.</w:t>
      </w:r>
    </w:p>
    <w:p>
      <w:pPr>
        <w:spacing w:after="0" w:line="2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233" w:lineRule="exact"/>
        <w:rPr>
          <w:sz w:val="20"/>
          <w:szCs w:val="20"/>
          <w:color w:val="auto"/>
        </w:rPr>
      </w:pPr>
    </w:p>
    <w:p>
      <w:pPr>
        <w:jc w:val="both"/>
        <w:ind w:right="20" w:firstLine="645"/>
        <w:spacing w:after="0" w:line="304" w:lineRule="auto"/>
        <w:rPr>
          <w:sz w:val="20"/>
          <w:szCs w:val="20"/>
          <w:color w:val="auto"/>
        </w:rPr>
      </w:pPr>
      <w:r>
        <w:rPr>
          <w:rFonts w:ascii="Times New Roman" w:cs="Times New Roman" w:eastAsia="Times New Roman" w:hAnsi="Times New Roman"/>
          <w:sz w:val="21"/>
          <w:szCs w:val="21"/>
          <w:color w:val="auto"/>
        </w:rPr>
        <w:t>The purpose of this company is to engage in any lawful act or activity for which companies may be organized under the General Corporation Law of Delaware.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233" w:lineRule="exact"/>
        <w:rPr>
          <w:sz w:val="20"/>
          <w:szCs w:val="20"/>
          <w:color w:val="auto"/>
        </w:rPr>
      </w:pPr>
    </w:p>
    <w:p>
      <w:pPr>
        <w:jc w:val="both"/>
        <w:ind w:firstLine="645"/>
        <w:spacing w:after="0" w:line="272" w:lineRule="auto"/>
        <w:rPr>
          <w:sz w:val="20"/>
          <w:szCs w:val="20"/>
          <w:color w:val="auto"/>
        </w:rPr>
      </w:pPr>
      <w:r>
        <w:rPr>
          <w:rFonts w:ascii="Times New Roman" w:cs="Times New Roman" w:eastAsia="Times New Roman" w:hAnsi="Times New Roman"/>
          <w:sz w:val="21"/>
          <w:szCs w:val="21"/>
          <w:color w:val="auto"/>
        </w:rPr>
        <w:t>The address of the Company’s registered office in the State of Delaware is The Corporation Trust Company, 1209 Orange Street, City of Wilmington, County of New Castle, DE 19801. The name of the registered agent at such address is The Corporation Trust Company.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246" w:lineRule="exact"/>
        <w:rPr>
          <w:sz w:val="20"/>
          <w:szCs w:val="20"/>
          <w:color w:val="auto"/>
        </w:rPr>
      </w:pPr>
    </w:p>
    <w:p>
      <w:pPr>
        <w:jc w:val="both"/>
        <w:ind w:firstLine="645"/>
        <w:spacing w:after="0" w:line="266" w:lineRule="auto"/>
        <w:rPr>
          <w:sz w:val="20"/>
          <w:szCs w:val="20"/>
          <w:color w:val="auto"/>
        </w:rPr>
      </w:pPr>
      <w:r>
        <w:rPr>
          <w:rFonts w:ascii="Times New Roman" w:cs="Times New Roman" w:eastAsia="Times New Roman" w:hAnsi="Times New Roman"/>
          <w:sz w:val="21"/>
          <w:szCs w:val="21"/>
          <w:color w:val="auto"/>
        </w:rPr>
        <w:t>Section 1. This Company is authorized to issue two classes of stock, to be designated, respectively, Common Stock and Undesignated Preferred Stock. The total number of shares of stock that the Company shall have authority to issue is 210,000,000 shares, of which 200,000,000 shares are Common Stock, $0.001 par value per share, and 10,000,000 shares are Undesignated Preferred Stock, $0.001 par value per share.</w:t>
      </w:r>
    </w:p>
    <w:p>
      <w:pPr>
        <w:spacing w:after="0" w:line="166" w:lineRule="exact"/>
        <w:rPr>
          <w:sz w:val="20"/>
          <w:szCs w:val="20"/>
          <w:color w:val="auto"/>
        </w:rPr>
      </w:pPr>
    </w:p>
    <w:p>
      <w:pPr>
        <w:jc w:val="both"/>
        <w:ind w:firstLine="645"/>
        <w:spacing w:after="0" w:line="304" w:lineRule="auto"/>
        <w:rPr>
          <w:sz w:val="20"/>
          <w:szCs w:val="20"/>
          <w:color w:val="auto"/>
        </w:rPr>
      </w:pPr>
      <w:r>
        <w:rPr>
          <w:rFonts w:ascii="Times New Roman" w:cs="Times New Roman" w:eastAsia="Times New Roman" w:hAnsi="Times New Roman"/>
          <w:sz w:val="21"/>
          <w:szCs w:val="21"/>
          <w:color w:val="auto"/>
        </w:rPr>
        <w:t>Section 2. Each share of Common Stock outstanding as of the applicable record date shall entitle the holder thereof to one (1) vote on any matter submitted to a vote at a meeting of stockholders.</w:t>
      </w:r>
    </w:p>
    <w:p>
      <w:pPr>
        <w:spacing w:after="0" w:line="12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21"/>
          <w:szCs w:val="21"/>
          <w:color w:val="auto"/>
        </w:rPr>
        <w:t>Section 3. The Undesignated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Undesignated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- 1 -</w:t>
      </w:r>
    </w:p>
    <w:p>
      <w:pPr>
        <w:sectPr>
          <w:pgSz w:w="11900" w:h="16838" w:orient="portrait"/>
          <w:cols w:equalWidth="0" w:num="1">
            <w:col w:w="11240"/>
          </w:cols>
          <w:pgMar w:left="320" w:top="121" w:right="339" w:bottom="1440" w:gutter="0" w:footer="0" w:header="0"/>
        </w:sectPr>
      </w:pPr>
    </w:p>
    <w:bookmarkStart w:id="109" w:name="page110"/>
    <w:bookmarkEnd w:id="109"/>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preferences and rights, and the qualifications, limitations and restrictions thereof stated in this Amended and Restated Certificate of Incorporation or the resolution of the Board of Directors originally fixing the number of shares of such series. Except as may be otherwise specified by the terms of any series of Undesignated Preferred Stock, if the number of shares of any series of Undesignated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172" w:lineRule="exact"/>
        <w:rPr>
          <w:sz w:val="20"/>
          <w:szCs w:val="20"/>
          <w:color w:val="auto"/>
        </w:rPr>
      </w:pPr>
    </w:p>
    <w:p>
      <w:pPr>
        <w:jc w:val="both"/>
        <w:ind w:firstLine="645"/>
        <w:spacing w:after="0" w:line="262" w:lineRule="auto"/>
        <w:rPr>
          <w:sz w:val="20"/>
          <w:szCs w:val="20"/>
          <w:color w:val="auto"/>
        </w:rPr>
      </w:pPr>
      <w:r>
        <w:rPr>
          <w:rFonts w:ascii="Times New Roman" w:cs="Times New Roman" w:eastAsia="Times New Roman" w:hAnsi="Times New Roman"/>
          <w:sz w:val="21"/>
          <w:szCs w:val="21"/>
          <w:color w:val="auto"/>
        </w:rPr>
        <w:t>Section 4. Except as otherwise required by law or provided in this Amended and Restated Certificate of Incorporation, holders of Common Stock shall not be entitled to vote on any amendment to this Amended and Restated Certificate of Incorporation (including any certificate of designation filed with respect to any series of Undesignated Preferred Stock) that relates solely to the terms of one or more outstanding series of Undesignated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Undesignated Preferred Stock).</w:t>
      </w:r>
    </w:p>
    <w:p>
      <w:pPr>
        <w:spacing w:after="0" w:line="170" w:lineRule="exact"/>
        <w:rPr>
          <w:sz w:val="20"/>
          <w:szCs w:val="20"/>
          <w:color w:val="auto"/>
        </w:rPr>
      </w:pPr>
    </w:p>
    <w:p>
      <w:pPr>
        <w:jc w:val="both"/>
        <w:ind w:firstLine="645"/>
        <w:spacing w:after="0" w:line="263" w:lineRule="auto"/>
        <w:rPr>
          <w:sz w:val="20"/>
          <w:szCs w:val="20"/>
          <w:color w:val="auto"/>
        </w:rPr>
      </w:pPr>
      <w:r>
        <w:rPr>
          <w:rFonts w:ascii="Times New Roman" w:cs="Times New Roman" w:eastAsia="Times New Roman" w:hAnsi="Times New Roman"/>
          <w:sz w:val="21"/>
          <w:szCs w:val="21"/>
          <w:color w:val="auto"/>
        </w:rPr>
        <w:t>Section 5. The number of authorized shares of Undesignated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Undesignated Preferred Stock is required pursuant to the terms of any certificate of designation relating to any series of Undesignated Preferred Stock, irrespective of the provisions of Section 242(b)(2) of the DGCL.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233"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21"/>
          <w:szCs w:val="21"/>
          <w:color w:val="auto"/>
        </w:rPr>
        <w:t>Section 1. Subject to the rights of holders of Undesignated Preferred Stock, if any, the number of directors that constitutes the entire Board of Directors of the Company shall be fixed only by resolution of the Board of Directors acting pursuant to a resolution adopted by a majority of the Whole Board. For the purposes of this Amended and Restated Certificate of Incorporation, the term “Whole Board” 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70"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1"/>
          <w:szCs w:val="21"/>
          <w:color w:val="auto"/>
        </w:rPr>
        <w:t>Section 2.</w:t>
        <w:tab/>
        <w:t>[Reserved.]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- 2 -</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1"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1"/>
          <w:szCs w:val="21"/>
          <w:color w:val="auto"/>
        </w:rPr>
        <w:t>Section 1.</w:t>
        <w:tab/>
        <w:t>[Reserved.]</w:t>
      </w:r>
    </w:p>
    <w:p>
      <w:pPr>
        <w:spacing w:after="0" w:line="229"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21"/>
          <w:szCs w:val="21"/>
          <w:color w:val="auto"/>
        </w:rPr>
        <w:t>Section 2. Except as otherwise provided for or fixed by or pursuant to the provisions of ARTICLE IV hereof in relation to the rights of the holders of Undesignated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his or her successor shall have been duly elected and qualified at the next election, or until such director’s earlier death, resignation or removal. No decrease in the number of directors constituting the Board of Directors shall shorten the term of any incumbent director.</w:t>
      </w:r>
    </w:p>
    <w:p>
      <w:pPr>
        <w:spacing w:after="0" w:line="200" w:lineRule="exact"/>
        <w:rPr>
          <w:sz w:val="20"/>
          <w:szCs w:val="20"/>
          <w:color w:val="auto"/>
        </w:rPr>
      </w:pPr>
    </w:p>
    <w:p>
      <w:pPr>
        <w:spacing w:after="0" w:line="2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233"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1"/>
          <w:szCs w:val="21"/>
          <w:color w:val="auto"/>
        </w:rPr>
        <w:t>Section 1.</w:t>
        <w:tab/>
        <w:t>The Company is to have perpetual existence.</w:t>
      </w:r>
    </w:p>
    <w:p>
      <w:pPr>
        <w:spacing w:after="0" w:line="229" w:lineRule="exact"/>
        <w:rPr>
          <w:sz w:val="20"/>
          <w:szCs w:val="20"/>
          <w:color w:val="auto"/>
        </w:rPr>
      </w:pPr>
    </w:p>
    <w:p>
      <w:pPr>
        <w:jc w:val="both"/>
        <w:ind w:firstLine="645"/>
        <w:spacing w:after="0" w:line="270" w:lineRule="auto"/>
        <w:rPr>
          <w:sz w:val="20"/>
          <w:szCs w:val="20"/>
          <w:color w:val="auto"/>
        </w:rPr>
      </w:pPr>
      <w:r>
        <w:rPr>
          <w:rFonts w:ascii="Times New Roman" w:cs="Times New Roman" w:eastAsia="Times New Roman" w:hAnsi="Times New Roman"/>
          <w:sz w:val="21"/>
          <w:szCs w:val="21"/>
          <w:color w:val="auto"/>
        </w:rPr>
        <w:t>Section 2. The business and affairs of the Company shall be managed by or under the direction of the Board of Directors. In addition to the powers and authority expressly conferred upon them by statute or by this Amended and Restated Certificate of Incorporation or the Bylaws of the Company, the directors are hereby empowered to exercise all such powers and do all such acts and things as may be exercised or done by the Company.</w:t>
      </w:r>
    </w:p>
    <w:p>
      <w:pPr>
        <w:spacing w:after="0" w:line="163" w:lineRule="exact"/>
        <w:rPr>
          <w:sz w:val="20"/>
          <w:szCs w:val="20"/>
          <w:color w:val="auto"/>
        </w:rPr>
      </w:pPr>
    </w:p>
    <w:p>
      <w:pPr>
        <w:jc w:val="both"/>
        <w:ind w:firstLine="645"/>
        <w:spacing w:after="0" w:line="262" w:lineRule="auto"/>
        <w:rPr>
          <w:sz w:val="20"/>
          <w:szCs w:val="20"/>
          <w:color w:val="auto"/>
        </w:rPr>
      </w:pPr>
      <w:r>
        <w:rPr>
          <w:rFonts w:ascii="Times New Roman" w:cs="Times New Roman" w:eastAsia="Times New Roman" w:hAnsi="Times New Roman"/>
          <w:sz w:val="21"/>
          <w:szCs w:val="21"/>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Notwithstanding the above or any other provision of this Amended and Restated Certificate of Incorporation, the Bylaws of the Company may not be amended, altered or repealed except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spacing w:after="0" w:line="175"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1"/>
          <w:szCs w:val="21"/>
          <w:color w:val="auto"/>
        </w:rPr>
        <w:t>Section 4.</w:t>
        <w:tab/>
        <w:t>The election of directors need not be by written ballot unless the Bylaws of the Company shall so provide.</w:t>
      </w:r>
    </w:p>
    <w:p>
      <w:pPr>
        <w:spacing w:after="0" w:line="229"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1"/>
          <w:szCs w:val="21"/>
          <w:color w:val="auto"/>
        </w:rPr>
        <w:t>Section 5.</w:t>
        <w:tab/>
        <w:t>No stockholder will be permitted to cumulate votes at any election of directors.</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b w:val="1"/>
          <w:bCs w:val="1"/>
          <w:color w:val="auto"/>
        </w:rPr>
        <w:t>ARTICLE 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- 3 -</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1" w:lineRule="exact"/>
        <w:rPr>
          <w:sz w:val="20"/>
          <w:szCs w:val="20"/>
          <w:color w:val="auto"/>
        </w:rPr>
      </w:pPr>
    </w:p>
    <w:p>
      <w:pPr>
        <w:jc w:val="both"/>
        <w:ind w:firstLine="645"/>
        <w:spacing w:after="0" w:line="266" w:lineRule="auto"/>
        <w:rPr>
          <w:sz w:val="20"/>
          <w:szCs w:val="20"/>
          <w:color w:val="auto"/>
        </w:rPr>
      </w:pPr>
      <w:r>
        <w:rPr>
          <w:rFonts w:ascii="Times New Roman" w:cs="Times New Roman" w:eastAsia="Times New Roman" w:hAnsi="Times New Roman"/>
          <w:sz w:val="21"/>
          <w:szCs w:val="21"/>
          <w:color w:val="auto"/>
        </w:rPr>
        <w:t>Section 1. From and after the closing of a firm commitment underwritten initial public offering of securities of the Company pursuant to an effective registration statement filed under the Securities Act of 1933, as amended (the “Securities Act”), and subject to the rights of holders of Undesignated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6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21"/>
          <w:szCs w:val="21"/>
          <w:color w:val="auto"/>
        </w:rPr>
        <w:t>Section 2. Subject to the terms of any series of Undesignated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200" w:lineRule="exact"/>
        <w:rPr>
          <w:sz w:val="20"/>
          <w:szCs w:val="20"/>
          <w:color w:val="auto"/>
        </w:rPr>
      </w:pPr>
    </w:p>
    <w:p>
      <w:pPr>
        <w:spacing w:after="0" w:line="232" w:lineRule="exact"/>
        <w:rPr>
          <w:sz w:val="20"/>
          <w:szCs w:val="20"/>
          <w:color w:val="auto"/>
        </w:rPr>
      </w:pPr>
    </w:p>
    <w:p>
      <w:pPr>
        <w:jc w:val="both"/>
        <w:ind w:firstLine="645"/>
        <w:spacing w:after="0" w:line="272" w:lineRule="auto"/>
        <w:rPr>
          <w:sz w:val="20"/>
          <w:szCs w:val="20"/>
          <w:color w:val="auto"/>
        </w:rPr>
      </w:pPr>
      <w:r>
        <w:rPr>
          <w:rFonts w:ascii="Times New Roman" w:cs="Times New Roman" w:eastAsia="Times New Roman" w:hAnsi="Times New Roman"/>
          <w:sz w:val="21"/>
          <w:szCs w:val="21"/>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IX.</w:t>
      </w:r>
    </w:p>
    <w:p>
      <w:pPr>
        <w:spacing w:after="0" w:line="233" w:lineRule="exact"/>
        <w:rPr>
          <w:sz w:val="20"/>
          <w:szCs w:val="20"/>
          <w:color w:val="auto"/>
        </w:rPr>
      </w:pPr>
    </w:p>
    <w:p>
      <w:pPr>
        <w:jc w:val="both"/>
        <w:ind w:firstLine="645"/>
        <w:spacing w:after="0" w:line="266" w:lineRule="auto"/>
        <w:rPr>
          <w:sz w:val="20"/>
          <w:szCs w:val="20"/>
          <w:color w:val="auto"/>
        </w:rPr>
      </w:pPr>
      <w:r>
        <w:rPr>
          <w:rFonts w:ascii="Times New Roman" w:cs="Times New Roman" w:eastAsia="Times New Roman" w:hAnsi="Times New Roman"/>
          <w:sz w:val="21"/>
          <w:szCs w:val="21"/>
          <w:color w:val="auto"/>
        </w:rPr>
        <w:t>Section 1. 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67" w:lineRule="exact"/>
        <w:rPr>
          <w:sz w:val="20"/>
          <w:szCs w:val="20"/>
          <w:color w:val="auto"/>
        </w:rPr>
      </w:pPr>
    </w:p>
    <w:p>
      <w:pPr>
        <w:jc w:val="both"/>
        <w:ind w:firstLine="645"/>
        <w:spacing w:after="0" w:line="260" w:lineRule="auto"/>
        <w:rPr>
          <w:sz w:val="20"/>
          <w:szCs w:val="20"/>
          <w:color w:val="auto"/>
        </w:rPr>
      </w:pPr>
      <w:r>
        <w:rPr>
          <w:rFonts w:ascii="Times New Roman" w:cs="Times New Roman" w:eastAsia="Times New Roman" w:hAnsi="Times New Roman"/>
          <w:sz w:val="21"/>
          <w:szCs w:val="21"/>
          <w:color w:val="auto"/>
        </w:rPr>
        <w:t>Section 2. 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 suit or proceeding, whether civil, criminal, administrative or investigative (a “Proceeding”) by reason of the fact that he or she is or was a director of the Company or is or was serving at the request of the Company as a director, officer, employee or agent of another company,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spacing w:after="0" w:line="172" w:lineRule="exact"/>
        <w:rPr>
          <w:sz w:val="20"/>
          <w:szCs w:val="20"/>
          <w:color w:val="auto"/>
        </w:rPr>
      </w:pPr>
    </w:p>
    <w:p>
      <w:pPr>
        <w:jc w:val="both"/>
        <w:ind w:firstLine="645"/>
        <w:spacing w:after="0" w:line="279" w:lineRule="auto"/>
        <w:rPr>
          <w:sz w:val="20"/>
          <w:szCs w:val="20"/>
          <w:color w:val="auto"/>
        </w:rPr>
      </w:pPr>
      <w:r>
        <w:rPr>
          <w:rFonts w:ascii="Times New Roman" w:cs="Times New Roman" w:eastAsia="Times New Roman" w:hAnsi="Times New Roman"/>
          <w:sz w:val="21"/>
          <w:szCs w:val="21"/>
          <w:color w:val="auto"/>
        </w:rPr>
        <w:t>Section 3. 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- 4 -</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Company as a director, officer, employee or agent of another company,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73" w:lineRule="exact"/>
        <w:rPr>
          <w:sz w:val="20"/>
          <w:szCs w:val="20"/>
          <w:color w:val="auto"/>
        </w:rPr>
      </w:pPr>
    </w:p>
    <w:p>
      <w:pPr>
        <w:jc w:val="both"/>
        <w:ind w:firstLine="645"/>
        <w:spacing w:after="0" w:line="266" w:lineRule="auto"/>
        <w:rPr>
          <w:sz w:val="20"/>
          <w:szCs w:val="20"/>
          <w:color w:val="auto"/>
        </w:rPr>
      </w:pPr>
      <w:r>
        <w:rPr>
          <w:rFonts w:ascii="Times New Roman" w:cs="Times New Roman" w:eastAsia="Times New Roman" w:hAnsi="Times New Roman"/>
          <w:sz w:val="21"/>
          <w:szCs w:val="21"/>
          <w:color w:val="auto"/>
        </w:rPr>
        <w:t>Section 4. Neither any amendment nor repeal of any Section of this ARTICLE IX, nor the adoption of any provision of this Amended and Restated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or adoption of an inconsistent provision.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w:t>
      </w:r>
    </w:p>
    <w:p>
      <w:pPr>
        <w:spacing w:after="0" w:line="246" w:lineRule="exact"/>
        <w:rPr>
          <w:sz w:val="20"/>
          <w:szCs w:val="20"/>
          <w:color w:val="auto"/>
        </w:rPr>
      </w:pPr>
    </w:p>
    <w:p>
      <w:pPr>
        <w:jc w:val="both"/>
        <w:ind w:firstLine="645"/>
        <w:spacing w:after="0" w:line="272" w:lineRule="auto"/>
        <w:rPr>
          <w:sz w:val="20"/>
          <w:szCs w:val="20"/>
          <w:color w:val="auto"/>
        </w:rPr>
      </w:pPr>
      <w:r>
        <w:rPr>
          <w:rFonts w:ascii="Times New Roman" w:cs="Times New Roman" w:eastAsia="Times New Roman" w:hAnsi="Times New Roman"/>
          <w:sz w:val="21"/>
          <w:szCs w:val="21"/>
          <w:color w:val="auto"/>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XI.</w:t>
      </w:r>
    </w:p>
    <w:p>
      <w:pPr>
        <w:spacing w:after="0" w:line="233"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21"/>
          <w:szCs w:val="21"/>
          <w:color w:val="auto"/>
        </w:rPr>
        <w:t>The Company reserves the right to amend or repeal any provision contained in this Amended and Restated Certificate of Incorporation in the manner prescribed by the laws of the State of Delaware and all rights conferred upon stockholders are granted subject to this reservation; provided, however, that notwithstanding any other provision of this Amended and Restated Certificate of Incorporation or any provision of law that might 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Amended and Restated Certificate of Incorporation.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XII.</w:t>
      </w:r>
    </w:p>
    <w:p>
      <w:pPr>
        <w:spacing w:after="0" w:line="233" w:lineRule="exact"/>
        <w:rPr>
          <w:sz w:val="20"/>
          <w:szCs w:val="20"/>
          <w:color w:val="auto"/>
        </w:rPr>
      </w:pPr>
    </w:p>
    <w:p>
      <w:pPr>
        <w:jc w:val="both"/>
        <w:ind w:firstLine="645"/>
        <w:spacing w:after="0" w:line="262" w:lineRule="auto"/>
        <w:rPr>
          <w:sz w:val="20"/>
          <w:szCs w:val="20"/>
          <w:color w:val="auto"/>
        </w:rPr>
      </w:pPr>
      <w:r>
        <w:rPr>
          <w:rFonts w:ascii="Times New Roman" w:cs="Times New Roman" w:eastAsia="Times New Roman" w:hAnsi="Times New Roman"/>
          <w:sz w:val="21"/>
          <w:szCs w:val="21"/>
          <w:color w:val="auto"/>
        </w:rPr>
        <w:t>Unless the Company consents in writing to the selection of an alternative forum, the Court of Chancery of the State of Delaware (or, if the Court of Chancery does not have jurisdiction, the United States District Court for the District of Delaware) shall, to the fullest extent permitted by law, be the sole and exclusive forum for (1) any derivative action or proceeding brought on the Company’s behalf; (2) any action asserting a claim of breach of a fiduciary duty or other wrongdoing by any of the Company’s directors, officers, employees or agents to the Company or the Company’s shareholders; (3) any action asserting a claim against the Company arising pursuant to any provision of the General Corporation Law of the State of Delaware or pursuant to this Amended and Restated Certificate of Incorporation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- 5 -</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Company’s Bylaws; (4) any action to interpret, apply, enforce or determine the validity of the Company’s Amended and Restated Certificate of Incorporation or Bylaws; or (5) any action asserting a claim governed by the internal affairs doctrine. Unless the Company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Notwithstanding the foregoing, this Article XII shall not apply to claims seeking to enforce any liability or duty created by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- 6 -</w:t>
      </w:r>
    </w:p>
    <w:p>
      <w:pPr>
        <w:sectPr>
          <w:pgSz w:w="11900" w:h="16838" w:orient="portrait"/>
          <w:cols w:equalWidth="0" w:num="1">
            <w:col w:w="11240"/>
          </w:cols>
          <w:pgMar w:left="320" w:top="1440"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jc w:val="center"/>
        <w:spacing w:after="0" w:line="218"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Under</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12 of the Securities Exchange Act of 1934</w:t>
      </w:r>
    </w:p>
    <w:p>
      <w:pPr>
        <w:spacing w:after="0" w:line="188"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i w:val="1"/>
          <w:iCs w:val="1"/>
          <w:color w:val="auto"/>
        </w:rPr>
        <w:t>As of December 31, 2025, Context Therapeutics Inc. (the “Company,” “we,” “our” and “us”) maintained one class of securities registered under Section 12 of the Securities Exchange Act of 1934, as amended (the “Exchange Act”), our common stock, par value $0.001 per share.</w:t>
      </w:r>
    </w:p>
    <w:p>
      <w:pPr>
        <w:spacing w:after="0" w:line="198"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8"/>
          <w:szCs w:val="18"/>
          <w:color w:val="auto"/>
        </w:rPr>
        <w:t>The following is a description of the material terms of our common stock. The description is qualified in its entirety by reference to our Amended and Restated Certificate of Incorporation (our “certificate of incorporation”), our Amended and Restated Bylaws (our “bylaws”) and the applicable provisions of the Delaware General Corporation Law, as amended (the “DGCL”). Our certificate of incorporation and our bylaws are incorporated by reference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to the Annual Report on Form 10-K for the year ended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stock consists of:</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•200,000,000 shares of common stock, par value $0.001 per share; and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 shares of preferred stock, par value $0.001 per share.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9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 Our board of directors is not classified and each director is elected annually. Except as otherwise provided by law, our certificate of incorporation, our bylaws or the rules of the stock exchange on which our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our certificate of incorporation or our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present in person or represented by proxy at the meeting and entitled to vote on the subject matter shall be the act of such class or series or classes or series, except as otherwise provided by law, our certificate of incorporation, our bylaws or the rules of the stock exchange on which our securities are listed. Accordingly, holders of a majority of the voting shares are able to elect all of the directors.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79"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79"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7"/>
          <w:szCs w:val="17"/>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then outstanding shares of preferred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common stock have no preemptive, conversion, subscription or other rights, and there are no redemption or sinking fund provisions</w:t>
      </w:r>
    </w:p>
    <w:p>
      <w:pPr>
        <w:spacing w:after="0" w:line="1"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8"/>
          <w:szCs w:val="18"/>
          <w:color w:val="auto"/>
        </w:rPr>
        <w:t>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“CNTX.”</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85" w:right="339" w:bottom="1440" w:gutter="0" w:footer="0" w:header="0"/>
        </w:sectPr>
      </w:pPr>
    </w:p>
    <w:bookmarkStart w:id="115" w:name="page116"/>
    <w:bookmarkEnd w:id="115"/>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our certificate of incorporation, our bylaws and the DGCL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provisions of the DGCL, our certificate of incorporation and our bylaws contain provisions that could make the following transactions more difficult:</w:t>
      </w:r>
    </w:p>
    <w:p>
      <w:pPr>
        <w:spacing w:after="0" w:line="1" w:lineRule="exact"/>
        <w:rPr>
          <w:sz w:val="20"/>
          <w:szCs w:val="20"/>
          <w:color w:val="auto"/>
        </w:rPr>
      </w:pPr>
    </w:p>
    <w:p>
      <w:pPr>
        <w:ind w:right="100"/>
        <w:spacing w:after="0" w:line="217" w:lineRule="auto"/>
        <w:rPr>
          <w:sz w:val="20"/>
          <w:szCs w:val="20"/>
          <w:color w:val="auto"/>
        </w:rPr>
      </w:pPr>
      <w:r>
        <w:rPr>
          <w:rFonts w:ascii="Times New Roman" w:cs="Times New Roman" w:eastAsia="Times New Roman" w:hAnsi="Times New Roman"/>
          <w:sz w:val="18"/>
          <w:szCs w:val="18"/>
          <w:color w:val="auto"/>
        </w:rPr>
        <w:t>acquisition of us by means of a tender offer; or acquisition of us by means of a proxy contest or otherwise. It is possible that these provisions could make it more difficult to accomplish or could deter transactions that stockholders may otherwise consider to be in their best interests or in our best interests, including transactions that might result in a premium over the market price for our shares.</w:t>
      </w:r>
    </w:p>
    <w:p>
      <w:pPr>
        <w:spacing w:after="0" w:line="64" w:lineRule="exact"/>
        <w:rPr>
          <w:sz w:val="20"/>
          <w:szCs w:val="20"/>
          <w:color w:val="auto"/>
        </w:rPr>
      </w:pPr>
    </w:p>
    <w:p>
      <w:pPr>
        <w:jc w:val="both"/>
        <w:ind w:right="540"/>
        <w:spacing w:after="0" w:line="228" w:lineRule="auto"/>
        <w:rPr>
          <w:sz w:val="20"/>
          <w:szCs w:val="20"/>
          <w:color w:val="auto"/>
        </w:rPr>
      </w:pPr>
      <w:r>
        <w:rPr>
          <w:rFonts w:ascii="Times New Roman" w:cs="Times New Roman" w:eastAsia="Times New Roman" w:hAnsi="Times New Roman"/>
          <w:sz w:val="17"/>
          <w:szCs w:val="17"/>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w:t>
      </w:r>
    </w:p>
    <w:p>
      <w:pPr>
        <w:spacing w:after="0"/>
        <w:rPr>
          <w:sz w:val="20"/>
          <w:szCs w:val="20"/>
          <w:color w:val="auto"/>
        </w:rPr>
      </w:pPr>
      <w:r>
        <w:rPr>
          <w:rFonts w:ascii="Times New Roman" w:cs="Times New Roman" w:eastAsia="Times New Roman" w:hAnsi="Times New Roman"/>
          <w:sz w:val="18"/>
          <w:szCs w:val="18"/>
          <w:color w:val="auto"/>
        </w:rPr>
        <w:t>disadvantages of discouraging these proposals because negotiation of these proposals could result in an improvement of their terms.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Section 203 of the DGCL, which prohibits persons deemed “interested stockholders” from engaging in a “business combination” with a</w:t>
      </w:r>
    </w:p>
    <w:p>
      <w:pPr>
        <w:spacing w:after="0" w:line="1" w:lineRule="exact"/>
        <w:rPr>
          <w:sz w:val="20"/>
          <w:szCs w:val="20"/>
          <w:color w:val="auto"/>
        </w:rPr>
      </w:pPr>
    </w:p>
    <w:p>
      <w:pPr>
        <w:ind w:right="180"/>
        <w:spacing w:after="0" w:line="207" w:lineRule="auto"/>
        <w:rPr>
          <w:sz w:val="20"/>
          <w:szCs w:val="20"/>
          <w:color w:val="auto"/>
        </w:rPr>
      </w:pPr>
      <w:r>
        <w:rPr>
          <w:rFonts w:ascii="Times New Roman" w:cs="Times New Roman" w:eastAsia="Times New Roman" w:hAnsi="Times New Roman"/>
          <w:sz w:val="18"/>
          <w:szCs w:val="18"/>
          <w:color w:val="auto"/>
        </w:rPr>
        <w:t>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w:t>
      </w:r>
    </w:p>
    <w:p>
      <w:pPr>
        <w:spacing w:after="0" w:line="2" w:lineRule="exact"/>
        <w:rPr>
          <w:sz w:val="20"/>
          <w:szCs w:val="20"/>
          <w:color w:val="auto"/>
        </w:rPr>
      </w:pPr>
    </w:p>
    <w:p>
      <w:pPr>
        <w:jc w:val="both"/>
        <w:ind w:right="160"/>
        <w:spacing w:after="0" w:line="219" w:lineRule="auto"/>
        <w:rPr>
          <w:sz w:val="20"/>
          <w:szCs w:val="20"/>
          <w:color w:val="auto"/>
        </w:rPr>
      </w:pPr>
      <w:r>
        <w:rPr>
          <w:rFonts w:ascii="Times New Roman" w:cs="Times New Roman" w:eastAsia="Times New Roman" w:hAnsi="Times New Roman"/>
          <w:sz w:val="17"/>
          <w:szCs w:val="17"/>
          <w:color w:val="auto"/>
        </w:rPr>
        <w:t>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price of our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provides that all stockholder actions are required to be taken by a vote of the stockholders at an annual or special meeting,</w:t>
      </w:r>
    </w:p>
    <w:p>
      <w:pPr>
        <w:spacing w:after="0" w:line="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auto"/>
        </w:rPr>
        <w:t>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of Stockholders</w:t>
      </w:r>
    </w:p>
    <w:p>
      <w:pPr>
        <w:spacing w:after="0" w:line="93" w:lineRule="exact"/>
        <w:rPr>
          <w:sz w:val="20"/>
          <w:szCs w:val="20"/>
          <w:color w:val="auto"/>
        </w:rPr>
      </w:pPr>
    </w:p>
    <w:p>
      <w:pPr>
        <w:ind w:right="200"/>
        <w:spacing w:after="0" w:line="228" w:lineRule="auto"/>
        <w:rPr>
          <w:sz w:val="20"/>
          <w:szCs w:val="20"/>
          <w:color w:val="auto"/>
        </w:rPr>
      </w:pPr>
      <w:r>
        <w:rPr>
          <w:rFonts w:ascii="Times New Roman" w:cs="Times New Roman" w:eastAsia="Times New Roman" w:hAnsi="Times New Roman"/>
          <w:sz w:val="17"/>
          <w:szCs w:val="17"/>
          <w:color w:val="auto"/>
        </w:rPr>
        <w:t>Our certificate of incorporation provides that a special meeting of stockholders may be called only by our chairman of the board of directors, Chief Executive Officer, President or by a resolution adopted by a majority of our board of directors, and only those matters set forth in the notice of the special meeting may be considered or acted upon at a special meeting of stockholders. Our bylaws also limit the business that may be conducted at an annual</w:t>
      </w:r>
    </w:p>
    <w:p>
      <w:pPr>
        <w:spacing w:after="0"/>
        <w:rPr>
          <w:sz w:val="20"/>
          <w:szCs w:val="20"/>
          <w:color w:val="auto"/>
        </w:rPr>
      </w:pPr>
      <w:r>
        <w:rPr>
          <w:rFonts w:ascii="Times New Roman" w:cs="Times New Roman" w:eastAsia="Times New Roman" w:hAnsi="Times New Roman"/>
          <w:sz w:val="18"/>
          <w:szCs w:val="18"/>
          <w:color w:val="auto"/>
        </w:rPr>
        <w:t>meeting of stockholders to those matters properly brought before the meeting.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bylaws establish advance notice procedures with regard to stockholder proposals relating to the nomination of candidates for election as directors or</w:t>
      </w:r>
    </w:p>
    <w:p>
      <w:pPr>
        <w:spacing w:after="0" w:line="1"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7"/>
          <w:szCs w:val="17"/>
          <w:color w:val="auto"/>
        </w:rPr>
        <w:t>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In addition, to</w:t>
      </w:r>
    </w:p>
    <w:p>
      <w:pPr>
        <w:spacing w:after="0" w:line="2" w:lineRule="exact"/>
        <w:rPr>
          <w:sz w:val="20"/>
          <w:szCs w:val="20"/>
          <w:color w:val="auto"/>
        </w:rPr>
      </w:pPr>
    </w:p>
    <w:p>
      <w:pPr>
        <w:ind w:right="240"/>
        <w:spacing w:after="0" w:line="213" w:lineRule="auto"/>
        <w:rPr>
          <w:sz w:val="20"/>
          <w:szCs w:val="20"/>
          <w:color w:val="auto"/>
        </w:rPr>
      </w:pPr>
      <w:r>
        <w:rPr>
          <w:rFonts w:ascii="Times New Roman" w:cs="Times New Roman" w:eastAsia="Times New Roman" w:hAnsi="Times New Roman"/>
          <w:sz w:val="18"/>
          <w:szCs w:val="18"/>
          <w:color w:val="auto"/>
        </w:rPr>
        <w:t>comply with the universal proxy rules, stockholders who intend to solicit proxies in support of director nominees other than our nominees must provide notice that sets forth the information required by Rule 14a-19 under the Exchange Act, generally no later than 60 days prior to the first anniversary of the date of the preceding year’s annual meeting. Our bylaws specify the requirements as to form and content of all stockholders’ notices. These requirements may preclude stockholders from bringing matters before the stockholders at an annual or special meeting.</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Our Certificate of Incorporation and Bylaws</w:t>
      </w:r>
    </w:p>
    <w:p>
      <w:pPr>
        <w:spacing w:after="0" w:line="79"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7"/>
          <w:szCs w:val="17"/>
          <w:color w:val="auto"/>
        </w:rPr>
        <w:t>Any amendment of our certificate of incorporation must first be approved by our board of directors, and if required by law or our certificate of incorporation, must thereafter be approved by the stockholders. Amendments to our certificate of incorporation generally must be approved by the holders</w:t>
      </w:r>
    </w:p>
    <w:p>
      <w:pPr>
        <w:spacing w:after="0" w:line="2" w:lineRule="exact"/>
        <w:rPr>
          <w:sz w:val="20"/>
          <w:szCs w:val="20"/>
          <w:color w:val="auto"/>
        </w:rPr>
      </w:pPr>
    </w:p>
    <w:p>
      <w:pPr>
        <w:ind w:right="220"/>
        <w:spacing w:after="0" w:line="219" w:lineRule="auto"/>
        <w:rPr>
          <w:sz w:val="20"/>
          <w:szCs w:val="20"/>
          <w:color w:val="auto"/>
        </w:rPr>
      </w:pPr>
      <w:r>
        <w:rPr>
          <w:rFonts w:ascii="Times New Roman" w:cs="Times New Roman" w:eastAsia="Times New Roman" w:hAnsi="Times New Roman"/>
          <w:sz w:val="17"/>
          <w:szCs w:val="17"/>
          <w:color w:val="auto"/>
        </w:rPr>
        <w:t>of a majority of the outstanding shares entitled to vote on the amendment; provided, however, that the amendment, repeal and modification of certain provisions requires a resolution adopted by a majority of the total number of authorized directorships whether or not there exist any vacancies or other unfilled seats in previously authorized directorships (the “Whole Board”) and the affirmative vote of 66 2/3% of the voting power of the then outstanding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securities of our company,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40" w:right="359" w:bottom="1440" w:gutter="0" w:footer="0" w:header="0"/>
        </w:sectPr>
      </w:pPr>
    </w:p>
    <w:bookmarkStart w:id="116" w:name="page117"/>
    <w:bookmarkEnd w:id="116"/>
    <w:p>
      <w:pPr>
        <w:ind w:right="80"/>
        <w:spacing w:after="0" w:line="234" w:lineRule="auto"/>
        <w:rPr>
          <w:sz w:val="20"/>
          <w:szCs w:val="20"/>
          <w:color w:val="auto"/>
        </w:rPr>
      </w:pPr>
      <w:r>
        <w:rPr>
          <w:rFonts w:ascii="Times New Roman" w:cs="Times New Roman" w:eastAsia="Times New Roman" w:hAnsi="Times New Roman"/>
          <w:sz w:val="17"/>
          <w:szCs w:val="17"/>
          <w:color w:val="auto"/>
        </w:rPr>
        <w:t>Our bylaws may be adopted, amended or repealed by the stockholders entitled to vote; provided, however, that the affirmative vote of the holders of at least 66 2/3% of the total voting power of outstanding voting securities, voting together as a single class, shall be required for our stockholders to alter, amend or</w:t>
      </w:r>
    </w:p>
    <w:p>
      <w:pPr>
        <w:spacing w:after="0" w:line="2" w:lineRule="exact"/>
        <w:rPr>
          <w:sz w:val="20"/>
          <w:szCs w:val="20"/>
          <w:color w:val="auto"/>
        </w:rPr>
      </w:pPr>
    </w:p>
    <w:p>
      <w:pPr>
        <w:jc w:val="both"/>
        <w:ind w:right="120"/>
        <w:spacing w:after="0" w:line="217" w:lineRule="auto"/>
        <w:rPr>
          <w:sz w:val="20"/>
          <w:szCs w:val="20"/>
          <w:color w:val="auto"/>
        </w:rPr>
      </w:pPr>
      <w:r>
        <w:rPr>
          <w:rFonts w:ascii="Times New Roman" w:cs="Times New Roman" w:eastAsia="Times New Roman" w:hAnsi="Times New Roman"/>
          <w:sz w:val="18"/>
          <w:szCs w:val="18"/>
          <w:color w:val="auto"/>
        </w:rPr>
        <w:t>repeal, or adopt any bylaw inconsistent with, certain provisions of our bylaws. Our board of directors also has the power to adopt, amend or repeal bylaws with the affirmative vote of a majority of the Whole Board; provided, however, that a bylaw amendment adopted by stockholders which specifies the votes that shall be necessary for the election of directors shall not be further amended or repealed by our board of directors.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79" w:lineRule="exact"/>
        <w:rPr>
          <w:sz w:val="20"/>
          <w:szCs w:val="20"/>
          <w:color w:val="auto"/>
        </w:rPr>
      </w:pPr>
    </w:p>
    <w:p>
      <w:pPr>
        <w:jc w:val="both"/>
        <w:ind w:right="120"/>
        <w:spacing w:after="0" w:line="234" w:lineRule="auto"/>
        <w:rPr>
          <w:sz w:val="20"/>
          <w:szCs w:val="20"/>
          <w:color w:val="auto"/>
        </w:rPr>
      </w:pPr>
      <w:r>
        <w:rPr>
          <w:rFonts w:ascii="Times New Roman" w:cs="Times New Roman" w:eastAsia="Times New Roman" w:hAnsi="Times New Roman"/>
          <w:sz w:val="17"/>
          <w:szCs w:val="17"/>
          <w:color w:val="auto"/>
        </w:rPr>
        <w:t>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w:t>
      </w:r>
    </w:p>
    <w:p>
      <w:pPr>
        <w:spacing w:after="0" w:line="2"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offerings or other transactions that might dilute the voting or other rights of the proposed acquirer or insurgent stockholder or stockholder group. In this regard, our certificate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incorporation grants our board of directors broad power to establish the rights and preferences of authorized and unissued shares of preferred stock. The</w:t>
      </w:r>
    </w:p>
    <w:p>
      <w:pPr>
        <w:spacing w:after="0" w:line="1" w:lineRule="exact"/>
        <w:rPr>
          <w:sz w:val="20"/>
          <w:szCs w:val="20"/>
          <w:color w:val="auto"/>
        </w:rPr>
      </w:pPr>
    </w:p>
    <w:p>
      <w:pPr>
        <w:ind w:right="140"/>
        <w:spacing w:after="0" w:line="217" w:lineRule="auto"/>
        <w:rPr>
          <w:sz w:val="20"/>
          <w:szCs w:val="20"/>
          <w:color w:val="auto"/>
        </w:rPr>
      </w:pPr>
      <w:r>
        <w:rPr>
          <w:rFonts w:ascii="Times New Roman" w:cs="Times New Roman" w:eastAsia="Times New Roman" w:hAnsi="Times New Roman"/>
          <w:sz w:val="18"/>
          <w:szCs w:val="18"/>
          <w:color w:val="auto"/>
        </w:rPr>
        <w:t>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 filling vacancies</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Because our stockholders do not have cumulative voting rights, our stockholders holding a majority of the shares of common stock outstanding will</w:t>
      </w:r>
    </w:p>
    <w:p>
      <w:pPr>
        <w:spacing w:after="0" w:line="1" w:lineRule="exact"/>
        <w:rPr>
          <w:sz w:val="20"/>
          <w:szCs w:val="20"/>
          <w:color w:val="auto"/>
        </w:rPr>
      </w:pPr>
    </w:p>
    <w:p>
      <w:pPr>
        <w:jc w:val="both"/>
        <w:ind w:right="40"/>
        <w:spacing w:after="0" w:line="219" w:lineRule="auto"/>
        <w:rPr>
          <w:sz w:val="20"/>
          <w:szCs w:val="20"/>
          <w:color w:val="auto"/>
        </w:rPr>
      </w:pPr>
      <w:r>
        <w:rPr>
          <w:rFonts w:ascii="Times New Roman" w:cs="Times New Roman" w:eastAsia="Times New Roman" w:hAnsi="Times New Roman"/>
          <w:sz w:val="17"/>
          <w:szCs w:val="17"/>
          <w:color w:val="auto"/>
        </w:rPr>
        <w:t>be able to elect all of our directors. Furthermore, any vacancy on our board of directors, however occurring, including a vacancy resulting from an increase in the size of the board of directors, may only be filled by the affirmative vote of a majority of the remaining directors then in office. This system of electing directors and filling vacancies may tend to discourage a third party from making a tender offer or otherwise attempting to obtain control of us, because 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makes it more difficult for stockholders to replace a majority of the directors.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w:t>
      </w:r>
    </w:p>
    <w:p>
      <w:pPr>
        <w:spacing w:after="0" w:line="1" w:lineRule="exact"/>
        <w:rPr>
          <w:sz w:val="20"/>
          <w:szCs w:val="20"/>
          <w:color w:val="auto"/>
        </w:rPr>
      </w:pPr>
    </w:p>
    <w:p>
      <w:pPr>
        <w:ind w:right="300"/>
        <w:spacing w:after="0" w:line="219" w:lineRule="auto"/>
        <w:rPr>
          <w:sz w:val="20"/>
          <w:szCs w:val="20"/>
          <w:color w:val="auto"/>
        </w:rPr>
      </w:pPr>
      <w:r>
        <w:rPr>
          <w:rFonts w:ascii="Times New Roman" w:cs="Times New Roman" w:eastAsia="Times New Roman" w:hAnsi="Times New Roman"/>
          <w:sz w:val="17"/>
          <w:szCs w:val="17"/>
          <w:color w:val="auto"/>
        </w:rPr>
        <w:t>Delaware (or, if the Court of Chancery does not have jurisdiction, the United States District Court for the District of Delaware) will, to the fullest extent permitted by law,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w:t>
      </w:r>
    </w:p>
    <w:p>
      <w:pPr>
        <w:spacing w:after="0" w:line="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7"/>
          <w:szCs w:val="17"/>
          <w:color w:val="auto"/>
        </w:rPr>
        <w:t>claim against us arising pursuant to any provision of the DGCL or pursuant to our certificate of incorporation or bylaws; (4) any action to interpret, apply, enforce or determine the validity of our certificate of incorporation or bylaws; or (5) any action asserting a claim governed by the internal affairs doctrine. In addition, our certificate of incorporation provides that, unless we consent in writing to the selection of an alternative forum, the federal district courts of the</w:t>
      </w:r>
    </w:p>
    <w:p>
      <w:pPr>
        <w:spacing w:after="0" w:line="2" w:lineRule="exact"/>
        <w:rPr>
          <w:sz w:val="20"/>
          <w:szCs w:val="20"/>
          <w:color w:val="auto"/>
        </w:rPr>
      </w:pPr>
    </w:p>
    <w:p>
      <w:pPr>
        <w:jc w:val="both"/>
        <w:ind w:right="180"/>
        <w:spacing w:after="0" w:line="217" w:lineRule="auto"/>
        <w:rPr>
          <w:sz w:val="20"/>
          <w:szCs w:val="20"/>
          <w:color w:val="auto"/>
        </w:rPr>
      </w:pPr>
      <w:r>
        <w:rPr>
          <w:rFonts w:ascii="Times New Roman" w:cs="Times New Roman" w:eastAsia="Times New Roman" w:hAnsi="Times New Roman"/>
          <w:sz w:val="18"/>
          <w:szCs w:val="18"/>
          <w:color w:val="auto"/>
        </w:rPr>
        <w:t>United States of America shall, to the fullest extent permitted by law, be the sole and exclusive forum for the resolution of any complaint asserting a cause of action arising under the Securities Act of 1933, as amended (the “Securities Act”). Notwithstanding the foregoing, the exclusive forum provision in our certificate of incorporation shall not apply to claims seeking to enforce any liability or duty created by the Exchange Act.</w:t>
      </w:r>
    </w:p>
    <w:p>
      <w:pPr>
        <w:spacing w:after="0" w:line="64" w:lineRule="exact"/>
        <w:rPr>
          <w:sz w:val="20"/>
          <w:szCs w:val="20"/>
          <w:color w:val="auto"/>
        </w:rPr>
      </w:pPr>
    </w:p>
    <w:p>
      <w:pPr>
        <w:ind w:right="40"/>
        <w:spacing w:after="0" w:line="212" w:lineRule="auto"/>
        <w:rPr>
          <w:sz w:val="20"/>
          <w:szCs w:val="20"/>
          <w:color w:val="auto"/>
        </w:rPr>
      </w:pPr>
      <w:r>
        <w:rPr>
          <w:rFonts w:ascii="Times New Roman" w:cs="Times New Roman" w:eastAsia="Times New Roman" w:hAnsi="Times New Roman"/>
          <w:sz w:val="18"/>
          <w:szCs w:val="18"/>
          <w:color w:val="auto"/>
        </w:rPr>
        <w:t>Our bylaws also provide that, unless we consent in writing to the selection of an alternative forum, the Court of Chancery of the State of Delaware (or, if the Court of Chancery does not have jurisdiction, any State court in Delaware or the federal district court for the District of Delaware) will, to the fullest extent permitted by law, be the sole and exclusive forum for: (1) any derivative action or proceeding brought on our behalf; (2) any action asserting a claim of breach of a fiduciary duty owed by any director, stockholder, officer or other employee to us or our stockholders; (3) any action arising pursuant to any</w:t>
      </w:r>
    </w:p>
    <w:p>
      <w:pPr>
        <w:spacing w:after="0" w:line="1" w:lineRule="exact"/>
        <w:rPr>
          <w:sz w:val="20"/>
          <w:szCs w:val="20"/>
          <w:color w:val="auto"/>
        </w:rPr>
      </w:pPr>
    </w:p>
    <w:p>
      <w:pPr>
        <w:jc w:val="both"/>
        <w:ind w:right="80"/>
        <w:spacing w:after="0" w:line="219" w:lineRule="auto"/>
        <w:rPr>
          <w:sz w:val="20"/>
          <w:szCs w:val="20"/>
          <w:color w:val="auto"/>
        </w:rPr>
      </w:pPr>
      <w:r>
        <w:rPr>
          <w:rFonts w:ascii="Times New Roman" w:cs="Times New Roman" w:eastAsia="Times New Roman" w:hAnsi="Times New Roman"/>
          <w:sz w:val="17"/>
          <w:szCs w:val="17"/>
          <w:color w:val="auto"/>
        </w:rPr>
        <w:t>provision of the DGCL or our certification of incorporation or our bylaws (as either may be amended from time to time); or (4) any action asserting a claim governed by the internal affairs doctrine, except for, as to each of (1) through (4), any claim as to which such court determines that there is an indispensable party not subject to the jurisdiction of such court (and the indispensable party does not consent to the personal jurisdiction of such court within 10 days</w:t>
      </w:r>
    </w:p>
    <w:p>
      <w:pPr>
        <w:spacing w:after="0" w:line="2"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17"/>
          <w:szCs w:val="17"/>
          <w:color w:val="auto"/>
        </w:rPr>
        <w:t>following such determination), which is vested in the exclusive jurisdiction of a court or forum other than such court or for which such court does not have subject matter jurisdiction. Further, unless we consent in writing to the selection of an alternative forum, the federal district courts of the United States of America shall be the exclusive forum for the resolution of any complaint asserting a cause of action arising under the Securities Act. Our bylaws also</w:t>
      </w:r>
    </w:p>
    <w:p>
      <w:pPr>
        <w:spacing w:after="0" w:line="2" w:lineRule="exact"/>
        <w:rPr>
          <w:sz w:val="20"/>
          <w:szCs w:val="20"/>
          <w:color w:val="auto"/>
        </w:rPr>
      </w:pPr>
    </w:p>
    <w:p>
      <w:pPr>
        <w:ind w:right="180"/>
        <w:spacing w:after="0" w:line="225" w:lineRule="auto"/>
        <w:rPr>
          <w:sz w:val="20"/>
          <w:szCs w:val="20"/>
          <w:color w:val="auto"/>
        </w:rPr>
      </w:pPr>
      <w:r>
        <w:rPr>
          <w:rFonts w:ascii="Times New Roman" w:cs="Times New Roman" w:eastAsia="Times New Roman" w:hAnsi="Times New Roman"/>
          <w:sz w:val="18"/>
          <w:szCs w:val="18"/>
          <w:color w:val="auto"/>
        </w:rPr>
        <w:t>provide that any person or entity purchasing or otherwise acquiring any interest in shares of our capital stock will be deemed to have notice of and to have consented to these choice of forum provisions.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98" w:right="339" w:bottom="1440" w:gutter="0" w:footer="0" w:header="0"/>
        </w:sectPr>
      </w:pPr>
    </w:p>
    <w:bookmarkStart w:id="117" w:name="page118"/>
    <w:bookmarkEnd w:id="117"/>
    <w:p>
      <w:pPr>
        <w:spacing w:after="0" w:line="200"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7"/>
          <w:szCs w:val="17"/>
          <w:color w:val="auto"/>
        </w:rPr>
        <w:t>It is possible that a court of law could rule that the choice of forum provisions contained in our certificate of incorporation and our bylaws are inapplicable or unenforceable if they are challenged in a proceeding or otherwise. Although we believe these provisions benefit us by providing increased consistency in</w:t>
      </w:r>
    </w:p>
    <w:p>
      <w:pPr>
        <w:spacing w:after="0" w:line="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the application of Delaware law and the Securities Act for the specified types of actions and proceedings, the provisions may have the effect of discouraging lawsuits against us or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40" w:right="35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 333-283037, 333-279693, 333-268266 and 333-261599) and</w:t>
      </w:r>
    </w:p>
    <w:p>
      <w:pPr>
        <w:spacing w:after="0" w:line="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Form S-8 (No. 333-285967, 333-278127, 333-270759, 333-263789 and 333-260385) of our report dated March 23, 2026, with respect to the consolidated financial statements of Context Therapeutics Inc. and Subsidiaries included in this Annual Report on Form 10-K of Context Therapeutics Inc. for the year ended December 31, 2025.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Parsippany, New Jersey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ectPr>
          <w:pgSz w:w="11900" w:h="16838" w:orient="portrait"/>
          <w:cols w:equalWidth="0" w:num="1">
            <w:col w:w="11240"/>
          </w:cols>
          <w:pgMar w:left="320" w:top="1393"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Lehr, certify that:</w:t>
      </w:r>
    </w:p>
    <w:p>
      <w:pPr>
        <w:spacing w:after="0" w:line="263" w:lineRule="exact"/>
        <w:rPr>
          <w:sz w:val="20"/>
          <w:szCs w:val="20"/>
          <w:color w:val="auto"/>
        </w:rPr>
      </w:pPr>
    </w:p>
    <w:p>
      <w:pPr>
        <w:ind w:left="660" w:hanging="330"/>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Context Therapeutics Inc.;</w:t>
      </w:r>
    </w:p>
    <w:p>
      <w:pPr>
        <w:spacing w:after="0" w:line="276" w:lineRule="exact"/>
        <w:rPr>
          <w:rFonts w:ascii="Times New Roman" w:cs="Times New Roman" w:eastAsia="Times New Roman" w:hAnsi="Times New Roman"/>
          <w:sz w:val="18"/>
          <w:szCs w:val="18"/>
          <w:color w:val="auto"/>
        </w:rPr>
      </w:pPr>
    </w:p>
    <w:p>
      <w:pPr>
        <w:jc w:val="both"/>
        <w:ind w:left="660" w:right="160" w:hanging="330"/>
        <w:spacing w:after="0" w:line="28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Times New Roman" w:cs="Times New Roman" w:eastAsia="Times New Roman" w:hAnsi="Times New Roman"/>
          <w:sz w:val="18"/>
          <w:szCs w:val="18"/>
          <w:color w:val="auto"/>
        </w:rPr>
      </w:pPr>
    </w:p>
    <w:p>
      <w:pPr>
        <w:ind w:left="660" w:right="140" w:hanging="330"/>
        <w:spacing w:after="0" w:line="295"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660" w:right="160" w:hanging="330"/>
        <w:spacing w:after="0" w:line="288"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Times New Roman" w:cs="Times New Roman" w:eastAsia="Times New Roman" w:hAnsi="Times New Roman"/>
          <w:sz w:val="18"/>
          <w:szCs w:val="18"/>
          <w:color w:val="auto"/>
        </w:rPr>
      </w:pPr>
    </w:p>
    <w:p>
      <w:pPr>
        <w:ind w:left="1300" w:right="180" w:hanging="3"/>
        <w:spacing w:after="0" w:line="288" w:lineRule="auto"/>
        <w:tabs>
          <w:tab w:leader="none" w:pos="154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Times New Roman" w:cs="Times New Roman" w:eastAsia="Times New Roman" w:hAnsi="Times New Roman"/>
          <w:sz w:val="18"/>
          <w:szCs w:val="18"/>
          <w:color w:val="auto"/>
        </w:rPr>
      </w:pPr>
    </w:p>
    <w:p>
      <w:pPr>
        <w:ind w:left="1300" w:right="60" w:hanging="3"/>
        <w:spacing w:after="0" w:line="288" w:lineRule="auto"/>
        <w:tabs>
          <w:tab w:leader="none" w:pos="15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Times New Roman" w:cs="Times New Roman" w:eastAsia="Times New Roman" w:hAnsi="Times New Roman"/>
          <w:sz w:val="18"/>
          <w:szCs w:val="18"/>
          <w:color w:val="auto"/>
        </w:rPr>
      </w:pPr>
    </w:p>
    <w:p>
      <w:pPr>
        <w:ind w:left="1300" w:right="60" w:hanging="3"/>
        <w:spacing w:after="0" w:line="343" w:lineRule="auto"/>
        <w:tabs>
          <w:tab w:leader="none" w:pos="1544"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7"/>
          <w:szCs w:val="17"/>
          <w:color w:val="auto"/>
        </w:rPr>
      </w:pPr>
    </w:p>
    <w:p>
      <w:pPr>
        <w:ind w:left="1300" w:hanging="3"/>
        <w:spacing w:after="0" w:line="288" w:lineRule="auto"/>
        <w:tabs>
          <w:tab w:leader="none" w:pos="15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Times New Roman" w:cs="Times New Roman" w:eastAsia="Times New Roman" w:hAnsi="Times New Roman"/>
          <w:sz w:val="18"/>
          <w:szCs w:val="18"/>
          <w:color w:val="auto"/>
        </w:rPr>
      </w:pPr>
    </w:p>
    <w:p>
      <w:pPr>
        <w:ind w:left="660" w:right="80" w:hanging="330"/>
        <w:spacing w:after="0" w:line="295"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300" w:right="260" w:hanging="3"/>
        <w:spacing w:after="0" w:line="295" w:lineRule="auto"/>
        <w:tabs>
          <w:tab w:leader="none" w:pos="154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340" w:right="339" w:bottom="1440" w:gutter="0" w:footer="0" w:header="0"/>
        </w:sectPr>
      </w:pPr>
    </w:p>
    <w:bookmarkStart w:id="120" w:name="page121"/>
    <w:bookmarkEnd w:id="120"/>
    <w:p>
      <w:pPr>
        <w:ind w:left="1280" w:right="140" w:hanging="3"/>
        <w:spacing w:after="0" w:line="311" w:lineRule="auto"/>
        <w:tabs>
          <w:tab w:leader="none" w:pos="153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630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By: /s/ Martin Lehr</w:t>
            </w:r>
          </w:p>
        </w:tc>
      </w:tr>
      <w:tr>
        <w:trPr>
          <w:trHeight w:val="217"/>
        </w:trPr>
        <w:tc>
          <w:tcPr>
            <w:tcW w:w="4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Martin Lehr</w:t>
            </w:r>
          </w:p>
        </w:tc>
      </w:tr>
      <w:tr>
        <w:trPr>
          <w:trHeight w:val="228"/>
        </w:trPr>
        <w:tc>
          <w:tcPr>
            <w:tcW w:w="45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5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0800"/>
          </w:cols>
          <w:pgMar w:left="340" w:top="1344" w:right="75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 PURSUANT TO SECTION 302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Minai-Azary, certify that:</w:t>
      </w:r>
    </w:p>
    <w:p>
      <w:pPr>
        <w:spacing w:after="0" w:line="263" w:lineRule="exact"/>
        <w:rPr>
          <w:sz w:val="20"/>
          <w:szCs w:val="20"/>
          <w:color w:val="auto"/>
        </w:rPr>
      </w:pPr>
    </w:p>
    <w:p>
      <w:pPr>
        <w:ind w:left="660" w:hanging="330"/>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Context Therapeutics Inc.;</w:t>
      </w:r>
    </w:p>
    <w:p>
      <w:pPr>
        <w:spacing w:after="0" w:line="276" w:lineRule="exact"/>
        <w:rPr>
          <w:rFonts w:ascii="Times New Roman" w:cs="Times New Roman" w:eastAsia="Times New Roman" w:hAnsi="Times New Roman"/>
          <w:sz w:val="18"/>
          <w:szCs w:val="18"/>
          <w:color w:val="auto"/>
        </w:rPr>
      </w:pPr>
    </w:p>
    <w:p>
      <w:pPr>
        <w:jc w:val="both"/>
        <w:ind w:left="660" w:right="160" w:hanging="330"/>
        <w:spacing w:after="0" w:line="280"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Times New Roman" w:cs="Times New Roman" w:eastAsia="Times New Roman" w:hAnsi="Times New Roman"/>
          <w:sz w:val="18"/>
          <w:szCs w:val="18"/>
          <w:color w:val="auto"/>
        </w:rPr>
      </w:pPr>
    </w:p>
    <w:p>
      <w:pPr>
        <w:ind w:left="660" w:right="140" w:hanging="330"/>
        <w:spacing w:after="0" w:line="295"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660" w:right="160" w:hanging="330"/>
        <w:spacing w:after="0" w:line="288"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Times New Roman" w:cs="Times New Roman" w:eastAsia="Times New Roman" w:hAnsi="Times New Roman"/>
          <w:sz w:val="18"/>
          <w:szCs w:val="18"/>
          <w:color w:val="auto"/>
        </w:rPr>
      </w:pPr>
    </w:p>
    <w:p>
      <w:pPr>
        <w:ind w:left="1300" w:right="180" w:hanging="3"/>
        <w:spacing w:after="0" w:line="288" w:lineRule="auto"/>
        <w:tabs>
          <w:tab w:leader="none" w:pos="154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Times New Roman" w:cs="Times New Roman" w:eastAsia="Times New Roman" w:hAnsi="Times New Roman"/>
          <w:sz w:val="18"/>
          <w:szCs w:val="18"/>
          <w:color w:val="auto"/>
        </w:rPr>
      </w:pPr>
    </w:p>
    <w:p>
      <w:pPr>
        <w:ind w:left="1300" w:right="60" w:hanging="3"/>
        <w:spacing w:after="0" w:line="288" w:lineRule="auto"/>
        <w:tabs>
          <w:tab w:leader="none" w:pos="155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Times New Roman" w:cs="Times New Roman" w:eastAsia="Times New Roman" w:hAnsi="Times New Roman"/>
          <w:sz w:val="18"/>
          <w:szCs w:val="18"/>
          <w:color w:val="auto"/>
        </w:rPr>
      </w:pPr>
    </w:p>
    <w:p>
      <w:pPr>
        <w:ind w:left="1300" w:right="60" w:hanging="3"/>
        <w:spacing w:after="0" w:line="343" w:lineRule="auto"/>
        <w:tabs>
          <w:tab w:leader="none" w:pos="1544"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7"/>
          <w:szCs w:val="17"/>
          <w:color w:val="auto"/>
        </w:rPr>
      </w:pPr>
    </w:p>
    <w:p>
      <w:pPr>
        <w:ind w:left="1300" w:hanging="3"/>
        <w:spacing w:after="0" w:line="288" w:lineRule="auto"/>
        <w:tabs>
          <w:tab w:leader="none" w:pos="155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Times New Roman" w:cs="Times New Roman" w:eastAsia="Times New Roman" w:hAnsi="Times New Roman"/>
          <w:sz w:val="18"/>
          <w:szCs w:val="18"/>
          <w:color w:val="auto"/>
        </w:rPr>
      </w:pPr>
    </w:p>
    <w:p>
      <w:pPr>
        <w:ind w:left="660" w:right="80" w:hanging="330"/>
        <w:spacing w:after="0" w:line="295"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300" w:right="260" w:hanging="3"/>
        <w:spacing w:after="0" w:line="295" w:lineRule="auto"/>
        <w:tabs>
          <w:tab w:leader="none" w:pos="154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340" w:right="339" w:bottom="1440" w:gutter="0" w:footer="0" w:header="0"/>
        </w:sectPr>
      </w:pPr>
    </w:p>
    <w:bookmarkStart w:id="122" w:name="page123"/>
    <w:bookmarkEnd w:id="122"/>
    <w:p>
      <w:pPr>
        <w:spacing w:after="0" w:line="146" w:lineRule="exact"/>
        <w:rPr>
          <w:sz w:val="20"/>
          <w:szCs w:val="20"/>
          <w:color w:val="auto"/>
        </w:rPr>
      </w:pPr>
    </w:p>
    <w:p>
      <w:pPr>
        <w:ind w:left="1280" w:right="480" w:hanging="3"/>
        <w:spacing w:after="0" w:line="311" w:lineRule="auto"/>
        <w:tabs>
          <w:tab w:leader="none" w:pos="153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6360" w:type="dxa"/>
            <w:vAlign w:val="bottom"/>
            <w:gridSpan w:val="2"/>
          </w:tcPr>
          <w:p>
            <w:pPr>
              <w:ind w:left="3220"/>
              <w:spacing w:after="0"/>
              <w:rPr>
                <w:sz w:val="20"/>
                <w:szCs w:val="20"/>
                <w:color w:val="auto"/>
              </w:rPr>
            </w:pPr>
            <w:r>
              <w:rPr>
                <w:rFonts w:ascii="Times New Roman" w:cs="Times New Roman" w:eastAsia="Times New Roman" w:hAnsi="Times New Roman"/>
                <w:sz w:val="18"/>
                <w:szCs w:val="18"/>
                <w:color w:val="auto"/>
              </w:rPr>
              <w:t>By: /s/ Jennifer Minai-Azary</w:t>
            </w:r>
          </w:p>
        </w:tc>
      </w:tr>
      <w:tr>
        <w:trPr>
          <w:trHeight w:val="217"/>
        </w:trPr>
        <w:tc>
          <w:tcPr>
            <w:tcW w:w="47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Jennifer Minai-Azary</w:t>
            </w:r>
          </w:p>
        </w:tc>
      </w:tr>
      <w:tr>
        <w:trPr>
          <w:trHeight w:val="228"/>
        </w:trPr>
        <w:tc>
          <w:tcPr>
            <w:tcW w:w="47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7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140"/>
          </w:cols>
          <w:pgMar w:left="340" w:top="1440" w:right="419" w:bottom="1440" w:gutter="0" w:footer="0" w:header="0"/>
        </w:sectPr>
      </w:pPr>
    </w:p>
    <w:bookmarkStart w:id="123" w:name="page124"/>
    <w:bookmarkEnd w:id="123"/>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6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30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color w:val="auto"/>
        </w:rPr>
        <w:t>Pursuant to Section 906 of the Sarbanes-Oxley Act of 2002 (18 U.S.C. 1350, as adopted), Martin Lehr, Chief Executive Officer (Principal Executive Officer) of Context Therapeutics Inc. (the “Company”), and Jennifer Minai-Azary, Chief Financial Officer (Principal Financial Officer) of the Company, each hereby certifies that, to the best of his or her knowledge:</w:t>
      </w:r>
    </w:p>
    <w:p>
      <w:pPr>
        <w:spacing w:after="0" w:line="197" w:lineRule="exact"/>
        <w:rPr>
          <w:sz w:val="20"/>
          <w:szCs w:val="20"/>
          <w:color w:val="auto"/>
        </w:rPr>
      </w:pPr>
    </w:p>
    <w:p>
      <w:pPr>
        <w:ind w:left="920" w:hanging="268"/>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2025 (the “Annual Report”), and to which this Certification is</w:t>
      </w:r>
    </w:p>
    <w:p>
      <w:pPr>
        <w:spacing w:after="0" w:line="48" w:lineRule="exact"/>
        <w:rPr>
          <w:rFonts w:ascii="Times New Roman" w:cs="Times New Roman" w:eastAsia="Times New Roman" w:hAnsi="Times New Roman"/>
          <w:sz w:val="18"/>
          <w:szCs w:val="18"/>
          <w:color w:val="auto"/>
        </w:rPr>
      </w:pPr>
    </w:p>
    <w:p>
      <w:pPr>
        <w:ind w:left="660"/>
        <w:spacing w:after="0" w:line="3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as Exhibit 32.1, fully complies with the requirements of Section 13(a) or Section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hanging="8"/>
        <w:spacing w:after="0" w:line="311" w:lineRule="auto"/>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4660" w:type="dxa"/>
            <w:vAlign w:val="bottom"/>
          </w:tcPr>
          <w:p>
            <w:pPr>
              <w:spacing w:after="0"/>
              <w:rPr>
                <w:sz w:val="20"/>
                <w:szCs w:val="20"/>
                <w:color w:val="auto"/>
              </w:rPr>
            </w:pPr>
          </w:p>
        </w:tc>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Martin Lehr</w:t>
            </w:r>
          </w:p>
        </w:tc>
      </w:tr>
      <w:tr>
        <w:trPr>
          <w:trHeight w:val="21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Martin Lehr</w:t>
            </w:r>
          </w:p>
        </w:tc>
      </w:tr>
      <w:tr>
        <w:trPr>
          <w:trHeight w:val="180"/>
        </w:trPr>
        <w:tc>
          <w:tcPr>
            <w:tcW w:w="4660" w:type="dxa"/>
            <w:vAlign w:val="bottom"/>
          </w:tcPr>
          <w:p>
            <w:pPr>
              <w:spacing w:after="0"/>
              <w:rPr>
                <w:sz w:val="15"/>
                <w:szCs w:val="15"/>
                <w:color w:val="auto"/>
              </w:rPr>
            </w:pPr>
          </w:p>
        </w:tc>
        <w:tc>
          <w:tcPr>
            <w:tcW w:w="34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Chief Executive Officer (Principal Executive</w:t>
            </w:r>
          </w:p>
        </w:tc>
      </w:tr>
      <w:tr>
        <w:trPr>
          <w:trHeight w:val="234"/>
        </w:trPr>
        <w:tc>
          <w:tcPr>
            <w:tcW w:w="466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290"/>
        </w:trPr>
        <w:tc>
          <w:tcPr>
            <w:tcW w:w="4660" w:type="dxa"/>
            <w:vAlign w:val="bottom"/>
          </w:tcPr>
          <w:p>
            <w:pPr>
              <w:spacing w:after="0"/>
              <w:rPr>
                <w:sz w:val="24"/>
                <w:szCs w:val="24"/>
                <w:color w:val="auto"/>
              </w:rPr>
            </w:pPr>
          </w:p>
        </w:tc>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Minai-Azary</w:t>
            </w:r>
          </w:p>
        </w:tc>
      </w:tr>
      <w:tr>
        <w:trPr>
          <w:trHeight w:val="21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Minai-Azary</w:t>
            </w:r>
          </w:p>
        </w:tc>
      </w:tr>
      <w:tr>
        <w:trPr>
          <w:trHeight w:val="180"/>
        </w:trPr>
        <w:tc>
          <w:tcPr>
            <w:tcW w:w="4660" w:type="dxa"/>
            <w:vAlign w:val="bottom"/>
          </w:tcPr>
          <w:p>
            <w:pPr>
              <w:spacing w:after="0"/>
              <w:rPr>
                <w:sz w:val="15"/>
                <w:szCs w:val="15"/>
                <w:color w:val="auto"/>
              </w:rPr>
            </w:pPr>
          </w:p>
        </w:tc>
        <w:tc>
          <w:tcPr>
            <w:tcW w:w="34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Chief Financial Officer (Principal Financial</w:t>
            </w:r>
          </w:p>
        </w:tc>
      </w:tr>
      <w:tr>
        <w:trPr>
          <w:trHeight w:val="234"/>
        </w:trPr>
        <w:tc>
          <w:tcPr>
            <w:tcW w:w="466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326"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8"/>
          <w:szCs w:val="18"/>
          <w:color w:val="auto"/>
        </w:rPr>
        <w:t>This certification accompanies the Annual Report on Form 10-K to which it relates, is not deemed filed with the Securities and Exchange Commission and is not to be incorporated by reference into any filing of Context Therapeutics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decimal"/>
      <w:start w:val="19"/>
    </w:lvl>
  </w:abstractNum>
  <w:abstractNum w:abstractNumId="41">
    <w:nsid w:val="6DE91B18"/>
    <w:multiLevelType w:val="hybridMultilevel"/>
    <w:lvl w:ilvl="0">
      <w:lvlJc w:val="left"/>
      <w:lvlText w:val="%1"/>
      <w:numFmt w:val="decimal"/>
      <w:start w:val="97"/>
    </w:lvl>
  </w:abstractNum>
  <w:abstractNum w:abstractNumId="42">
    <w:nsid w:val="38437FDB"/>
    <w:multiLevelType w:val="hybridMultilevel"/>
    <w:lvl w:ilvl="0">
      <w:lvlJc w:val="left"/>
      <w:lvlText w:val="%1"/>
      <w:numFmt w:val="decimal"/>
      <w:start w:val="10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
    </w:lvl>
    <w:lvl w:ilvl="1">
      <w:lvlJc w:val="left"/>
      <w:lvlText w:val="(%2)"/>
      <w:numFmt w:val="lowerLetter"/>
      <w:start w:val="1"/>
    </w:lvl>
  </w:abstractNum>
  <w:abstractNum w:abstractNumId="48">
    <w:nsid w:val="3DC240FB"/>
    <w:multiLevelType w:val="hybridMultilevel"/>
    <w:lvl w:ilvl="0">
      <w:lvlJc w:val="left"/>
      <w:lvlText w:val="(%1)"/>
      <w:numFmt w:val="lowerLetter"/>
      <w:start w:val="2"/>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lowerLetter"/>
      <w:start w:val="2"/>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0" Type="http://schemas.openxmlformats.org/officeDocument/2006/relationships/image" Target="media/image113.png"/><Relationship Id="rId146"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20" Type="http://schemas.openxmlformats.org/officeDocument/2006/relationships/hyperlink" Target="https://www.sec.gov/Archives/edgar/data/1842952/000162828026017691/exhibit31-contextxcertific.htm" TargetMode="External"/><Relationship Id="rId121" Type="http://schemas.openxmlformats.org/officeDocument/2006/relationships/hyperlink" Target="https://www.sec.gov/Archives/edgar/data/1842952/000184295224000011/exhibit32context-arbylawsm.htm" TargetMode="External"/><Relationship Id="rId122" Type="http://schemas.openxmlformats.org/officeDocument/2006/relationships/hyperlink" Target="https://www.sec.gov/Archives/edgar/data/1842952/000119312521175568/d46596dex41.htm" TargetMode="External"/><Relationship Id="rId123" Type="http://schemas.openxmlformats.org/officeDocument/2006/relationships/hyperlink" Target="https://www.sec.gov/Archives/edgar/data/1842952/000184295224000033/cntx-formofprexfundedwarra.htm" TargetMode="External"/><Relationship Id="rId124" Type="http://schemas.openxmlformats.org/officeDocument/2006/relationships/hyperlink" Target="https://www.sec.gov/Archives/edgar/data/1842952/000184295221000015/cntx-20210930x10qexhibit41.htm" TargetMode="External"/><Relationship Id="rId125" Type="http://schemas.openxmlformats.org/officeDocument/2006/relationships/hyperlink" Target="https://www.sec.gov/Archives/edgar/data/1842952/000119312521175568/d46596dex101.htm" TargetMode="External"/><Relationship Id="rId126" Type="http://schemas.openxmlformats.org/officeDocument/2006/relationships/hyperlink" Target="https://www.sec.gov/Archives/edgar/data/1842952/000184295223000041/amendment1tointegralcollab.htm" TargetMode="External"/><Relationship Id="rId127" Type="http://schemas.openxmlformats.org/officeDocument/2006/relationships/hyperlink" Target="https://www.sec.gov/Archives/edgar/data/1842952/000184295222000096/context-lonzalicenseagreem.htm" TargetMode="External"/><Relationship Id="rId128" Type="http://schemas.openxmlformats.org/officeDocument/2006/relationships/hyperlink" Target="https://www.sec.gov/Archives/edgar/data/1842952/000184295224000005/amendment2tointegralcollab.htm" TargetMode="External"/><Relationship Id="rId129" Type="http://schemas.openxmlformats.org/officeDocument/2006/relationships/hyperlink" Target="https://www.sec.gov/Archives/edgar/data/1842952/000119312521175568/d46596dex105.htm" TargetMode="External"/><Relationship Id="rId131" Type="http://schemas.openxmlformats.org/officeDocument/2006/relationships/hyperlink" Target="https://www.sec.gov/Archives/edgar/data/1842952/000119312521175568/d46596dex106.htm" TargetMode="External"/><Relationship Id="rId132" Type="http://schemas.openxmlformats.org/officeDocument/2006/relationships/hyperlink" Target="https://www.sec.gov/Archives/edgar/data/1842952/000119312521175568/d46596dex107.htm" TargetMode="External"/><Relationship Id="rId133" Type="http://schemas.openxmlformats.org/officeDocument/2006/relationships/hyperlink" Target="https://www.sec.gov/Archives/edgar/data/1842952/000119312521175568/d46596dex108.htm" TargetMode="External"/><Relationship Id="rId134" Type="http://schemas.openxmlformats.org/officeDocument/2006/relationships/hyperlink" Target="https://www.sec.gov/Archives/edgar/data/1842952/000119312521192240/d46596dex1010.htm" TargetMode="External"/><Relationship Id="rId135" Type="http://schemas.openxmlformats.org/officeDocument/2006/relationships/hyperlink" Target="https://www.sec.gov/Archives/edgar/data/1842952/000119312521305465/d251040dex101.htm" TargetMode="External"/><Relationship Id="rId136" Type="http://schemas.openxmlformats.org/officeDocument/2006/relationships/hyperlink" Target="https://www.sec.gov/Archives/edgar/data/1842952/000184295221000005/jminaiemploymentagreementc.htm" TargetMode="External"/><Relationship Id="rId137" Type="http://schemas.openxmlformats.org/officeDocument/2006/relationships/hyperlink" Target="https://www.sec.gov/Archives/edgar/data/1842952/000184295222000029/levitemploymentagreement10.htm" TargetMode="External"/><Relationship Id="rId138" Type="http://schemas.openxmlformats.org/officeDocument/2006/relationships/hyperlink" Target="https://www.sec.gov/Archives/edgar/data/1842952/000184295225000081/kchaginemploymentagreement.htm" TargetMode="External"/><Relationship Id="rId139" Type="http://schemas.openxmlformats.org/officeDocument/2006/relationships/hyperlink" Target="https://www.sec.gov/Archives/edgar/data/1842952/000184295221000015/cntx-20210930x10qexhibit104.htm" TargetMode="External"/><Relationship Id="rId140" Type="http://schemas.openxmlformats.org/officeDocument/2006/relationships/hyperlink" Target="https://www.sec.gov/Archives/edgar/data/1842952/000184295222000096/lonzacontextdmsa.htm" TargetMode="External"/><Relationship Id="rId141" Type="http://schemas.openxmlformats.org/officeDocument/2006/relationships/hyperlink" Target="https://www.sec.gov/Archives/edgar/data/1842952/000184295225000028/cntx-ex1015lonzafirstamend.htm" TargetMode="External"/><Relationship Id="rId142" Type="http://schemas.openxmlformats.org/officeDocument/2006/relationships/hyperlink" Target="https://www.sec.gov/Archives/edgar/data/1842952/000162828025049533/lonza-cntxctimx76licenseam.htm" TargetMode="External"/><Relationship Id="rId143" Type="http://schemas.openxmlformats.org/officeDocument/2006/relationships/hyperlink" Target="https://www.sec.gov/Archives/edgar/data/1842952/000162828025049533/lonza-cntxctx202licenseagm.htm" TargetMode="External"/><Relationship Id="rId144" Type="http://schemas.openxmlformats.org/officeDocument/2006/relationships/hyperlink" Target="https://www.sec.gov/Archives/edgar/data/1842952/000184295224000033/cntx-rramay2024.htm" TargetMode="External"/><Relationship Id="rId145" Type="http://schemas.openxmlformats.org/officeDocument/2006/relationships/hyperlink" Target="https://www.sec.gov/Archives/edgar/data/1842952/000184295225000028/cntx-ex1019justxevotecxlin.htm" TargetMode="External"/><Relationship Id="rId147" Type="http://schemas.openxmlformats.org/officeDocument/2006/relationships/hyperlink" Target="https://www.sec.gov/Archives/edgar/data/1842952/000184295224000050/linkabc-cntxapasecredactio.htm" TargetMode="External"/><Relationship Id="rId148" Type="http://schemas.openxmlformats.org/officeDocument/2006/relationships/hyperlink" Target="https://www.sec.gov/Archives/edgar/data/1842952/000184295224000065/cntx-formofinducementgrant.htm" TargetMode="External"/><Relationship Id="rId149" Type="http://schemas.openxmlformats.org/officeDocument/2006/relationships/hyperlink" Target="https://www.sec.gov/Archives/edgar/data/1842952/000184295224000065/cntx-formofstockoptionagre.htm" TargetMode="External"/><Relationship Id="rId150" Type="http://schemas.openxmlformats.org/officeDocument/2006/relationships/hyperlink" Target="https://www.sec.gov/Archives/edgar/data/1842952/000184295224000083/bioatla-contexttherapeutic.htm" TargetMode="External"/><Relationship Id="rId151" Type="http://schemas.openxmlformats.org/officeDocument/2006/relationships/hyperlink" Target="https://www.sec.gov/Archives/edgar/data/1842952/000162828024049570/exhibit101-8xkforatmdec2024.htm" TargetMode="External"/><Relationship Id="rId152" Type="http://schemas.openxmlformats.org/officeDocument/2006/relationships/hyperlink" Target="https://www.sec.gov/Archives/edgar/data/1842952/000162828025046258/exhibit101-8xk.htm" TargetMode="External"/><Relationship Id="rId153" Type="http://schemas.openxmlformats.org/officeDocument/2006/relationships/hyperlink" Target="https://www.sec.gov/Archives/edgar/data/1842952/000184295225000028/cntx-ex19insidertradingpol.htm" TargetMode="External"/><Relationship Id="rId154" Type="http://schemas.openxmlformats.org/officeDocument/2006/relationships/hyperlink" Target="https://www.sec.gov/Archives/edgar/data/1842952/000119312521175568/d46596dex211.htm" TargetMode="External"/><Relationship Id="rId155" Type="http://schemas.openxmlformats.org/officeDocument/2006/relationships/hyperlink" Target="https://www.sec.gov/Archives/edgar/data/1842952/000184295224000011/cntx-ex97compensationreco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2026-03-23T15:22:20Z</dcterms:created>
  <dcterms:modified xsi:type="dcterms:W3CDTF">2026-03-23T15:22:20Z</dcterms:modified>
</cp:coreProperties>
</file>