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7"/>
        <w:spacing w:after="0"/>
        <w:rPr>
          <w:sz w:val="20"/>
          <w:szCs w:val="20"/>
          <w:color w:val="auto"/>
        </w:rPr>
      </w:pPr>
      <w:r>
        <w:rPr>
          <w:rFonts w:ascii="Arial" w:cs="Arial" w:eastAsia="Arial" w:hAnsi="Arial"/>
          <w:sz w:val="19"/>
          <w:szCs w:val="19"/>
          <w:b w:val="1"/>
          <w:bCs w:val="1"/>
          <w:color w:val="auto"/>
        </w:rPr>
        <w:drawing>
          <wp:anchor simplePos="0" relativeHeight="251657728" behindDoc="1" locked="0" layoutInCell="0" allowOverlap="1">
            <wp:simplePos x="0" y="0"/>
            <wp:positionH relativeFrom="page">
              <wp:posOffset>191135</wp:posOffset>
            </wp:positionH>
            <wp:positionV relativeFrom="page">
              <wp:posOffset>294640</wp:posOffset>
            </wp:positionV>
            <wp:extent cx="7172325" cy="571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72325" cy="5715"/>
                    </a:xfrm>
                    <a:prstGeom prst="rect">
                      <a:avLst/>
                    </a:prstGeom>
                    <a:noFill/>
                  </pic:spPr>
                </pic:pic>
              </a:graphicData>
            </a:graphic>
          </wp:anchor>
        </w:drawing>
        <w:drawing>
          <wp:anchor simplePos="0" relativeHeight="251657728" behindDoc="1" locked="0" layoutInCell="0" allowOverlap="1">
            <wp:simplePos x="0" y="0"/>
            <wp:positionH relativeFrom="page">
              <wp:posOffset>191135</wp:posOffset>
            </wp:positionH>
            <wp:positionV relativeFrom="page">
              <wp:posOffset>311785</wp:posOffset>
            </wp:positionV>
            <wp:extent cx="7172325" cy="571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72325" cy="5715"/>
                    </a:xfrm>
                    <a:prstGeom prst="rect">
                      <a:avLst/>
                    </a:prstGeom>
                    <a:noFill/>
                  </pic:spPr>
                </pic:pic>
              </a:graphicData>
            </a:graphic>
          </wp:anchor>
        </w:drawing>
        <w:t>UNITED STATES</w:t>
      </w:r>
    </w:p>
    <w:p>
      <w:pPr>
        <w:spacing w:after="0" w:line="27" w:lineRule="exact"/>
        <w:rPr>
          <w:sz w:val="24"/>
          <w:szCs w:val="24"/>
          <w:color w:val="auto"/>
        </w:rPr>
      </w:pPr>
    </w:p>
    <w:p>
      <w:pPr>
        <w:jc w:val="center"/>
        <w:ind w:right="-27"/>
        <w:spacing w:after="0"/>
        <w:rPr>
          <w:sz w:val="20"/>
          <w:szCs w:val="20"/>
          <w:color w:val="auto"/>
        </w:rPr>
      </w:pPr>
      <w:r>
        <w:rPr>
          <w:rFonts w:ascii="Arial" w:cs="Arial" w:eastAsia="Arial" w:hAnsi="Arial"/>
          <w:sz w:val="19"/>
          <w:szCs w:val="19"/>
          <w:b w:val="1"/>
          <w:bCs w:val="1"/>
          <w:color w:val="auto"/>
        </w:rPr>
        <w:t>SECURITIES AND EXCHANGE COMMISSION</w:t>
      </w:r>
    </w:p>
    <w:p>
      <w:pPr>
        <w:spacing w:after="0" w:line="16" w:lineRule="exact"/>
        <w:rPr>
          <w:sz w:val="24"/>
          <w:szCs w:val="24"/>
          <w:color w:val="auto"/>
        </w:rPr>
      </w:pPr>
    </w:p>
    <w:p>
      <w:pPr>
        <w:jc w:val="center"/>
        <w:ind w:right="-27"/>
        <w:spacing w:after="0"/>
        <w:rPr>
          <w:sz w:val="20"/>
          <w:szCs w:val="20"/>
          <w:color w:val="auto"/>
        </w:rPr>
      </w:pPr>
      <w:r>
        <w:rPr>
          <w:rFonts w:ascii="Arial" w:cs="Arial" w:eastAsia="Arial" w:hAnsi="Arial"/>
          <w:sz w:val="13"/>
          <w:szCs w:val="13"/>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2628900</wp:posOffset>
            </wp:positionH>
            <wp:positionV relativeFrom="paragraph">
              <wp:posOffset>129540</wp:posOffset>
            </wp:positionV>
            <wp:extent cx="1925955" cy="571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925955" cy="5715"/>
                    </a:xfrm>
                    <a:prstGeom prst="rect">
                      <a:avLst/>
                    </a:prstGeom>
                    <a:noFill/>
                  </pic:spPr>
                </pic:pic>
              </a:graphicData>
            </a:graphic>
          </wp:anchor>
        </w:drawing>
      </w:r>
    </w:p>
    <w:p>
      <w:pPr>
        <w:spacing w:after="0" w:line="377" w:lineRule="exact"/>
        <w:rPr>
          <w:sz w:val="24"/>
          <w:szCs w:val="24"/>
          <w:color w:val="auto"/>
        </w:rPr>
      </w:pPr>
    </w:p>
    <w:p>
      <w:pPr>
        <w:jc w:val="center"/>
        <w:ind w:right="-27"/>
        <w:spacing w:after="0"/>
        <w:rPr>
          <w:sz w:val="20"/>
          <w:szCs w:val="20"/>
          <w:color w:val="auto"/>
        </w:rPr>
      </w:pPr>
      <w:r>
        <w:rPr>
          <w:rFonts w:ascii="Arial" w:cs="Arial" w:eastAsia="Arial" w:hAnsi="Arial"/>
          <w:sz w:val="19"/>
          <w:szCs w:val="19"/>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2628900</wp:posOffset>
            </wp:positionH>
            <wp:positionV relativeFrom="paragraph">
              <wp:posOffset>149860</wp:posOffset>
            </wp:positionV>
            <wp:extent cx="1925955" cy="57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925955" cy="5715"/>
                    </a:xfrm>
                    <a:prstGeom prst="rect">
                      <a:avLst/>
                    </a:prstGeom>
                    <a:noFill/>
                  </pic:spPr>
                </pic:pic>
              </a:graphicData>
            </a:graphic>
          </wp:anchor>
        </w:drawing>
      </w:r>
    </w:p>
    <w:p>
      <w:pPr>
        <w:spacing w:after="0" w:line="200" w:lineRule="exact"/>
        <w:rPr>
          <w:sz w:val="24"/>
          <w:szCs w:val="24"/>
          <w:color w:val="auto"/>
        </w:rPr>
      </w:pPr>
    </w:p>
    <w:p>
      <w:pPr>
        <w:spacing w:after="0" w:line="209" w:lineRule="exact"/>
        <w:rPr>
          <w:sz w:val="24"/>
          <w:szCs w:val="24"/>
          <w:color w:val="auto"/>
        </w:rPr>
      </w:pPr>
    </w:p>
    <w:p>
      <w:pPr>
        <w:jc w:val="center"/>
        <w:ind w:right="-27"/>
        <w:spacing w:after="0"/>
        <w:rPr>
          <w:sz w:val="20"/>
          <w:szCs w:val="20"/>
          <w:color w:val="auto"/>
        </w:rPr>
      </w:pPr>
      <w:r>
        <w:rPr>
          <w:rFonts w:ascii="Arial" w:cs="Arial" w:eastAsia="Arial" w:hAnsi="Arial"/>
          <w:sz w:val="13"/>
          <w:szCs w:val="13"/>
          <w:b w:val="1"/>
          <w:bCs w:val="1"/>
          <w:color w:val="auto"/>
        </w:rPr>
        <w:t>CURRENT REPORT</w:t>
      </w:r>
    </w:p>
    <w:p>
      <w:pPr>
        <w:spacing w:after="0" w:line="25" w:lineRule="exact"/>
        <w:rPr>
          <w:sz w:val="24"/>
          <w:szCs w:val="24"/>
          <w:color w:val="auto"/>
        </w:rPr>
      </w:pPr>
    </w:p>
    <w:p>
      <w:pPr>
        <w:jc w:val="center"/>
        <w:ind w:right="-27"/>
        <w:spacing w:after="0"/>
        <w:rPr>
          <w:sz w:val="20"/>
          <w:szCs w:val="20"/>
          <w:color w:val="auto"/>
        </w:rPr>
      </w:pPr>
      <w:r>
        <w:rPr>
          <w:rFonts w:ascii="Arial" w:cs="Arial" w:eastAsia="Arial" w:hAnsi="Arial"/>
          <w:sz w:val="13"/>
          <w:szCs w:val="13"/>
          <w:b w:val="1"/>
          <w:bCs w:val="1"/>
          <w:color w:val="auto"/>
        </w:rPr>
        <w:t>Pursuant to Section 13 OR 15(d)</w:t>
      </w:r>
    </w:p>
    <w:p>
      <w:pPr>
        <w:spacing w:after="0" w:line="13" w:lineRule="exact"/>
        <w:rPr>
          <w:sz w:val="24"/>
          <w:szCs w:val="24"/>
          <w:color w:val="auto"/>
        </w:rPr>
      </w:pPr>
    </w:p>
    <w:p>
      <w:pPr>
        <w:jc w:val="center"/>
        <w:ind w:right="-27"/>
        <w:spacing w:after="0"/>
        <w:rPr>
          <w:sz w:val="20"/>
          <w:szCs w:val="20"/>
          <w:color w:val="auto"/>
        </w:rPr>
      </w:pPr>
      <w:r>
        <w:rPr>
          <w:rFonts w:ascii="Arial" w:cs="Arial" w:eastAsia="Arial" w:hAnsi="Arial"/>
          <w:sz w:val="13"/>
          <w:szCs w:val="13"/>
          <w:b w:val="1"/>
          <w:bCs w:val="1"/>
          <w:color w:val="auto"/>
        </w:rPr>
        <w:t>of The Securities Exchange Act of 1934</w:t>
      </w:r>
    </w:p>
    <w:p>
      <w:pPr>
        <w:spacing w:after="0" w:line="136" w:lineRule="exact"/>
        <w:rPr>
          <w:sz w:val="24"/>
          <w:szCs w:val="24"/>
          <w:color w:val="auto"/>
        </w:rPr>
      </w:pPr>
    </w:p>
    <w:p>
      <w:pPr>
        <w:jc w:val="center"/>
        <w:ind w:right="-27"/>
        <w:spacing w:after="0"/>
        <w:rPr>
          <w:sz w:val="20"/>
          <w:szCs w:val="20"/>
          <w:color w:val="auto"/>
        </w:rPr>
      </w:pPr>
      <w:r>
        <w:rPr>
          <w:rFonts w:ascii="Arial" w:cs="Arial" w:eastAsia="Arial" w:hAnsi="Arial"/>
          <w:sz w:val="13"/>
          <w:szCs w:val="13"/>
          <w:b w:val="1"/>
          <w:bCs w:val="1"/>
          <w:color w:val="auto"/>
        </w:rPr>
        <w:t>Date of Report (Date of earliest event reported): June 15, 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2628900</wp:posOffset>
            </wp:positionH>
            <wp:positionV relativeFrom="paragraph">
              <wp:posOffset>142875</wp:posOffset>
            </wp:positionV>
            <wp:extent cx="1925955" cy="57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925955" cy="5715"/>
                    </a:xfrm>
                    <a:prstGeom prst="rect">
                      <a:avLst/>
                    </a:prstGeom>
                    <a:noFill/>
                  </pic:spPr>
                </pic:pic>
              </a:graphicData>
            </a:graphic>
          </wp:anchor>
        </w:drawing>
      </w:r>
    </w:p>
    <w:p>
      <w:pPr>
        <w:spacing w:after="0" w:line="395" w:lineRule="exact"/>
        <w:rPr>
          <w:sz w:val="24"/>
          <w:szCs w:val="24"/>
          <w:color w:val="auto"/>
        </w:rPr>
      </w:pPr>
    </w:p>
    <w:p>
      <w:pPr>
        <w:jc w:val="center"/>
        <w:ind w:right="-27"/>
        <w:spacing w:after="0"/>
        <w:rPr>
          <w:sz w:val="20"/>
          <w:szCs w:val="20"/>
          <w:color w:val="auto"/>
        </w:rPr>
      </w:pPr>
      <w:r>
        <w:rPr>
          <w:rFonts w:ascii="Arial" w:cs="Arial" w:eastAsia="Arial" w:hAnsi="Arial"/>
          <w:sz w:val="26"/>
          <w:szCs w:val="26"/>
          <w:b w:val="1"/>
          <w:bCs w:val="1"/>
          <w:color w:val="auto"/>
        </w:rPr>
        <w:t>Context Therapeutics Inc.</w:t>
      </w:r>
    </w:p>
    <w:p>
      <w:pPr>
        <w:spacing w:after="0" w:line="96" w:lineRule="exact"/>
        <w:rPr>
          <w:sz w:val="24"/>
          <w:szCs w:val="24"/>
          <w:color w:val="auto"/>
        </w:rPr>
      </w:pPr>
    </w:p>
    <w:p>
      <w:pPr>
        <w:jc w:val="center"/>
        <w:ind w:right="-27"/>
        <w:spacing w:after="0"/>
        <w:rPr>
          <w:sz w:val="20"/>
          <w:szCs w:val="20"/>
          <w:color w:val="auto"/>
        </w:rPr>
      </w:pPr>
      <w:r>
        <w:rPr>
          <w:rFonts w:ascii="Arial" w:cs="Arial" w:eastAsia="Arial" w:hAnsi="Arial"/>
          <w:sz w:val="11"/>
          <w:szCs w:val="11"/>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2628900</wp:posOffset>
            </wp:positionH>
            <wp:positionV relativeFrom="paragraph">
              <wp:posOffset>130810</wp:posOffset>
            </wp:positionV>
            <wp:extent cx="1925955" cy="571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925955" cy="5715"/>
                    </a:xfrm>
                    <a:prstGeom prst="rect">
                      <a:avLst/>
                    </a:prstGeom>
                    <a:noFill/>
                  </pic:spPr>
                </pic:pic>
              </a:graphicData>
            </a:graphic>
          </wp:anchor>
        </w:drawing>
      </w:r>
    </w:p>
    <w:p>
      <w:pPr>
        <w:spacing w:after="0" w:line="200" w:lineRule="exact"/>
        <w:rPr>
          <w:sz w:val="24"/>
          <w:szCs w:val="24"/>
          <w:color w:val="auto"/>
        </w:rPr>
      </w:pPr>
    </w:p>
    <w:p>
      <w:pPr>
        <w:spacing w:after="0" w:line="218" w:lineRule="exact"/>
        <w:rPr>
          <w:sz w:val="24"/>
          <w:szCs w:val="24"/>
          <w:color w:val="auto"/>
        </w:rPr>
      </w:pPr>
    </w:p>
    <w:tbl>
      <w:tblPr>
        <w:tblLayout w:type="fixed"/>
        <w:tblInd w:w="1168" w:type="dxa"/>
        <w:tblCellMar>
          <w:top w:w="0" w:type="dxa"/>
          <w:left w:w="0" w:type="dxa"/>
          <w:bottom w:w="0" w:type="dxa"/>
          <w:right w:w="0" w:type="dxa"/>
        </w:tblCellMar>
      </w:tblPr>
      <w:tr>
        <w:trPr>
          <w:trHeight w:val="151"/>
        </w:trPr>
        <w:tc>
          <w:tcPr>
            <w:tcW w:w="2760" w:type="dxa"/>
            <w:vAlign w:val="bottom"/>
          </w:tcPr>
          <w:p>
            <w:pPr>
              <w:jc w:val="center"/>
              <w:ind w:right="1254"/>
              <w:spacing w:after="0"/>
              <w:rPr>
                <w:sz w:val="20"/>
                <w:szCs w:val="20"/>
                <w:color w:val="auto"/>
              </w:rPr>
            </w:pPr>
            <w:r>
              <w:rPr>
                <w:rFonts w:ascii="Times New Roman" w:cs="Times New Roman" w:eastAsia="Times New Roman" w:hAnsi="Times New Roman"/>
                <w:sz w:val="11"/>
                <w:szCs w:val="11"/>
                <w:b w:val="1"/>
                <w:bCs w:val="1"/>
                <w:color w:val="auto"/>
                <w:w w:val="94"/>
              </w:rPr>
              <w:t>Delaware</w:t>
            </w:r>
          </w:p>
        </w:tc>
        <w:tc>
          <w:tcPr>
            <w:tcW w:w="3540" w:type="dxa"/>
            <w:vAlign w:val="bottom"/>
          </w:tcPr>
          <w:p>
            <w:pPr>
              <w:jc w:val="right"/>
              <w:ind w:right="1534"/>
              <w:spacing w:after="0"/>
              <w:rPr>
                <w:sz w:val="20"/>
                <w:szCs w:val="20"/>
                <w:color w:val="auto"/>
              </w:rPr>
            </w:pPr>
            <w:r>
              <w:rPr>
                <w:rFonts w:ascii="Times New Roman" w:cs="Times New Roman" w:eastAsia="Times New Roman" w:hAnsi="Times New Roman"/>
                <w:sz w:val="11"/>
                <w:szCs w:val="11"/>
                <w:b w:val="1"/>
                <w:bCs w:val="1"/>
                <w:color w:val="auto"/>
              </w:rPr>
              <w:t>001-40654</w:t>
            </w:r>
          </w:p>
        </w:tc>
        <w:tc>
          <w:tcPr>
            <w:tcW w:w="2540" w:type="dxa"/>
            <w:vAlign w:val="bottom"/>
          </w:tcPr>
          <w:p>
            <w:pPr>
              <w:jc w:val="right"/>
              <w:ind w:right="294"/>
              <w:spacing w:after="0"/>
              <w:rPr>
                <w:sz w:val="20"/>
                <w:szCs w:val="20"/>
                <w:color w:val="auto"/>
              </w:rPr>
            </w:pPr>
            <w:r>
              <w:rPr>
                <w:rFonts w:ascii="Times New Roman" w:cs="Times New Roman" w:eastAsia="Times New Roman" w:hAnsi="Times New Roman"/>
                <w:sz w:val="11"/>
                <w:szCs w:val="11"/>
                <w:b w:val="1"/>
                <w:bCs w:val="1"/>
                <w:color w:val="auto"/>
              </w:rPr>
              <w:t>86-3738787</w:t>
            </w:r>
          </w:p>
        </w:tc>
      </w:tr>
      <w:tr>
        <w:trPr>
          <w:trHeight w:val="116"/>
        </w:trPr>
        <w:tc>
          <w:tcPr>
            <w:tcW w:w="2760" w:type="dxa"/>
            <w:vAlign w:val="bottom"/>
          </w:tcPr>
          <w:p>
            <w:pPr>
              <w:jc w:val="center"/>
              <w:ind w:right="1254"/>
              <w:spacing w:after="0"/>
              <w:rPr>
                <w:sz w:val="20"/>
                <w:szCs w:val="20"/>
                <w:color w:val="auto"/>
              </w:rPr>
            </w:pPr>
            <w:r>
              <w:rPr>
                <w:rFonts w:ascii="Times New Roman" w:cs="Times New Roman" w:eastAsia="Times New Roman" w:hAnsi="Times New Roman"/>
                <w:sz w:val="8"/>
                <w:szCs w:val="8"/>
                <w:b w:val="1"/>
                <w:bCs w:val="1"/>
                <w:color w:val="auto"/>
                <w:w w:val="96"/>
              </w:rPr>
              <w:t>(State of other jurisdiction of incorporation)</w:t>
            </w:r>
          </w:p>
        </w:tc>
        <w:tc>
          <w:tcPr>
            <w:tcW w:w="3540" w:type="dxa"/>
            <w:vAlign w:val="bottom"/>
          </w:tcPr>
          <w:p>
            <w:pPr>
              <w:jc w:val="center"/>
              <w:ind w:right="34"/>
              <w:spacing w:after="0"/>
              <w:rPr>
                <w:sz w:val="20"/>
                <w:szCs w:val="20"/>
                <w:color w:val="auto"/>
              </w:rPr>
            </w:pPr>
            <w:r>
              <w:rPr>
                <w:rFonts w:ascii="Times New Roman" w:cs="Times New Roman" w:eastAsia="Times New Roman" w:hAnsi="Times New Roman"/>
                <w:sz w:val="8"/>
                <w:szCs w:val="8"/>
                <w:b w:val="1"/>
                <w:bCs w:val="1"/>
                <w:color w:val="auto"/>
                <w:w w:val="96"/>
              </w:rPr>
              <w:t>(Commission File Number)</w:t>
            </w:r>
          </w:p>
        </w:tc>
        <w:tc>
          <w:tcPr>
            <w:tcW w:w="2540" w:type="dxa"/>
            <w:vAlign w:val="bottom"/>
          </w:tcPr>
          <w:p>
            <w:pPr>
              <w:jc w:val="center"/>
              <w:ind w:left="1294"/>
              <w:spacing w:after="0"/>
              <w:rPr>
                <w:sz w:val="20"/>
                <w:szCs w:val="20"/>
                <w:color w:val="auto"/>
              </w:rPr>
            </w:pPr>
            <w:r>
              <w:rPr>
                <w:rFonts w:ascii="Times New Roman" w:cs="Times New Roman" w:eastAsia="Times New Roman" w:hAnsi="Times New Roman"/>
                <w:sz w:val="8"/>
                <w:szCs w:val="8"/>
                <w:b w:val="1"/>
                <w:bCs w:val="1"/>
                <w:color w:val="auto"/>
                <w:w w:val="97"/>
              </w:rPr>
              <w:t>(I.R.S. Employer Identification No.)</w:t>
            </w:r>
          </w:p>
        </w:tc>
      </w:tr>
    </w:tbl>
    <w:p>
      <w:pPr>
        <w:spacing w:after="0" w:line="212" w:lineRule="exact"/>
        <w:rPr>
          <w:sz w:val="24"/>
          <w:szCs w:val="24"/>
          <w:color w:val="auto"/>
        </w:rPr>
      </w:pPr>
    </w:p>
    <w:p>
      <w:pPr>
        <w:jc w:val="center"/>
        <w:ind w:right="-27"/>
        <w:spacing w:after="0"/>
        <w:rPr>
          <w:sz w:val="20"/>
          <w:szCs w:val="20"/>
          <w:color w:val="auto"/>
        </w:rPr>
      </w:pPr>
      <w:r>
        <w:rPr>
          <w:rFonts w:ascii="Arial" w:cs="Arial" w:eastAsia="Arial" w:hAnsi="Arial"/>
          <w:sz w:val="11"/>
          <w:szCs w:val="11"/>
          <w:b w:val="1"/>
          <w:bCs w:val="1"/>
          <w:color w:val="auto"/>
        </w:rPr>
        <w:t>2001 Market Street, Suite 3915, Unit #15</w:t>
      </w:r>
    </w:p>
    <w:p>
      <w:pPr>
        <w:spacing w:after="0" w:line="18" w:lineRule="exact"/>
        <w:rPr>
          <w:sz w:val="24"/>
          <w:szCs w:val="24"/>
          <w:color w:val="auto"/>
        </w:rPr>
      </w:pPr>
    </w:p>
    <w:p>
      <w:pPr>
        <w:jc w:val="center"/>
        <w:ind w:right="-27"/>
        <w:spacing w:after="0"/>
        <w:rPr>
          <w:sz w:val="20"/>
          <w:szCs w:val="20"/>
          <w:color w:val="auto"/>
        </w:rPr>
      </w:pPr>
      <w:r>
        <w:rPr>
          <w:rFonts w:ascii="Arial" w:cs="Arial" w:eastAsia="Arial" w:hAnsi="Arial"/>
          <w:sz w:val="11"/>
          <w:szCs w:val="11"/>
          <w:b w:val="1"/>
          <w:bCs w:val="1"/>
          <w:color w:val="auto"/>
        </w:rPr>
        <w:t>Philadelphia, Pennsylvania 19103</w:t>
      </w:r>
    </w:p>
    <w:p>
      <w:pPr>
        <w:jc w:val="center"/>
        <w:ind w:right="-27"/>
        <w:spacing w:after="0"/>
        <w:rPr>
          <w:sz w:val="20"/>
          <w:szCs w:val="20"/>
          <w:color w:val="auto"/>
        </w:rPr>
      </w:pPr>
      <w:r>
        <w:rPr>
          <w:rFonts w:ascii="Arial" w:cs="Arial" w:eastAsia="Arial" w:hAnsi="Arial"/>
          <w:sz w:val="8"/>
          <w:szCs w:val="8"/>
          <w:b w:val="1"/>
          <w:bCs w:val="1"/>
          <w:color w:val="auto"/>
        </w:rPr>
        <w:t>(Address of principal executive offices including zip code)</w:t>
      </w:r>
    </w:p>
    <w:p>
      <w:pPr>
        <w:spacing w:after="0" w:line="141" w:lineRule="exact"/>
        <w:rPr>
          <w:sz w:val="24"/>
          <w:szCs w:val="24"/>
          <w:color w:val="auto"/>
        </w:rPr>
      </w:pPr>
    </w:p>
    <w:p>
      <w:pPr>
        <w:jc w:val="center"/>
        <w:ind w:right="-27"/>
        <w:spacing w:after="0"/>
        <w:rPr>
          <w:sz w:val="20"/>
          <w:szCs w:val="20"/>
          <w:color w:val="auto"/>
        </w:rPr>
      </w:pPr>
      <w:r>
        <w:rPr>
          <w:rFonts w:ascii="Arial" w:cs="Arial" w:eastAsia="Arial" w:hAnsi="Arial"/>
          <w:sz w:val="11"/>
          <w:szCs w:val="11"/>
          <w:b w:val="1"/>
          <w:bCs w:val="1"/>
          <w:color w:val="auto"/>
        </w:rPr>
        <w:t>(267) 225-7416</w:t>
      </w:r>
    </w:p>
    <w:p>
      <w:pPr>
        <w:spacing w:after="0" w:line="4" w:lineRule="exact"/>
        <w:rPr>
          <w:sz w:val="24"/>
          <w:szCs w:val="24"/>
          <w:color w:val="auto"/>
        </w:rPr>
      </w:pPr>
    </w:p>
    <w:p>
      <w:pPr>
        <w:jc w:val="center"/>
        <w:ind w:right="-27"/>
        <w:spacing w:after="0"/>
        <w:rPr>
          <w:sz w:val="20"/>
          <w:szCs w:val="20"/>
          <w:color w:val="auto"/>
        </w:rPr>
      </w:pPr>
      <w:r>
        <w:rPr>
          <w:rFonts w:ascii="Arial" w:cs="Arial" w:eastAsia="Arial" w:hAnsi="Arial"/>
          <w:sz w:val="8"/>
          <w:szCs w:val="8"/>
          <w:b w:val="1"/>
          <w:bCs w:val="1"/>
          <w:color w:val="auto"/>
        </w:rPr>
        <w:t>(Registrant’s telephone number, including area code)</w:t>
      </w:r>
    </w:p>
    <w:p>
      <w:pPr>
        <w:spacing w:after="0" w:line="146" w:lineRule="exact"/>
        <w:rPr>
          <w:sz w:val="24"/>
          <w:szCs w:val="24"/>
          <w:color w:val="auto"/>
        </w:rPr>
      </w:pPr>
    </w:p>
    <w:p>
      <w:pPr>
        <w:jc w:val="center"/>
        <w:ind w:right="-27"/>
        <w:spacing w:after="0"/>
        <w:rPr>
          <w:sz w:val="20"/>
          <w:szCs w:val="20"/>
          <w:color w:val="auto"/>
        </w:rPr>
      </w:pPr>
      <w:r>
        <w:rPr>
          <w:rFonts w:ascii="Arial" w:cs="Arial" w:eastAsia="Arial" w:hAnsi="Arial"/>
          <w:sz w:val="11"/>
          <w:szCs w:val="11"/>
          <w:b w:val="1"/>
          <w:bCs w:val="1"/>
          <w:color w:val="auto"/>
        </w:rPr>
        <w:t>Not Applicable</w:t>
      </w:r>
    </w:p>
    <w:p>
      <w:pPr>
        <w:spacing w:after="0" w:line="15" w:lineRule="exact"/>
        <w:rPr>
          <w:sz w:val="24"/>
          <w:szCs w:val="24"/>
          <w:color w:val="auto"/>
        </w:rPr>
      </w:pPr>
    </w:p>
    <w:p>
      <w:pPr>
        <w:jc w:val="center"/>
        <w:ind w:right="-27"/>
        <w:spacing w:after="0"/>
        <w:rPr>
          <w:sz w:val="20"/>
          <w:szCs w:val="20"/>
          <w:color w:val="auto"/>
        </w:rPr>
      </w:pPr>
      <w:r>
        <w:rPr>
          <w:rFonts w:ascii="Arial" w:cs="Arial" w:eastAsia="Arial" w:hAnsi="Arial"/>
          <w:sz w:val="7"/>
          <w:szCs w:val="7"/>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2628900</wp:posOffset>
            </wp:positionH>
            <wp:positionV relativeFrom="paragraph">
              <wp:posOffset>127635</wp:posOffset>
            </wp:positionV>
            <wp:extent cx="1925955" cy="571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925955" cy="5715"/>
                    </a:xfrm>
                    <a:prstGeom prst="rect">
                      <a:avLst/>
                    </a:prstGeom>
                    <a:noFill/>
                  </pic:spPr>
                </pic:pic>
              </a:graphicData>
            </a:graphic>
          </wp:anchor>
        </w:drawing>
      </w:r>
    </w:p>
    <w:p>
      <w:pPr>
        <w:spacing w:after="0" w:line="388" w:lineRule="exact"/>
        <w:rPr>
          <w:sz w:val="24"/>
          <w:szCs w:val="24"/>
          <w:color w:val="auto"/>
        </w:rPr>
      </w:pPr>
    </w:p>
    <w:p>
      <w:pPr>
        <w:ind w:left="8"/>
        <w:spacing w:after="0"/>
        <w:rPr>
          <w:sz w:val="20"/>
          <w:szCs w:val="20"/>
          <w:color w:val="auto"/>
        </w:rPr>
      </w:pPr>
      <w:r>
        <w:rPr>
          <w:rFonts w:ascii="Arial" w:cs="Arial" w:eastAsia="Arial" w:hAnsi="Arial"/>
          <w:sz w:val="11"/>
          <w:szCs w:val="11"/>
          <w:color w:val="auto"/>
        </w:rPr>
        <w:t>Check the appropriate box below if the Form 8-K filing is intended to simultaneously satisfy the filing obligation of the registrant under any of the following provisions:</w:t>
      </w:r>
    </w:p>
    <w:p>
      <w:pPr>
        <w:spacing w:after="0" w:line="144" w:lineRule="exact"/>
        <w:rPr>
          <w:sz w:val="24"/>
          <w:szCs w:val="24"/>
          <w:color w:val="auto"/>
        </w:rPr>
      </w:pPr>
    </w:p>
    <w:p>
      <w:pPr>
        <w:ind w:left="348" w:hanging="348"/>
        <w:spacing w:after="0"/>
        <w:tabs>
          <w:tab w:leader="none" w:pos="348" w:val="left"/>
        </w:tabs>
        <w:numPr>
          <w:ilvl w:val="0"/>
          <w:numId w:val="1"/>
        </w:numPr>
        <w:rPr>
          <w:rFonts w:ascii="MS PGothic" w:cs="MS PGothic" w:eastAsia="MS PGothic" w:hAnsi="MS PGothic"/>
          <w:sz w:val="11"/>
          <w:szCs w:val="11"/>
          <w:color w:val="auto"/>
        </w:rPr>
      </w:pPr>
      <w:r>
        <w:rPr>
          <w:rFonts w:ascii="Arial" w:cs="Arial" w:eastAsia="Arial" w:hAnsi="Arial"/>
          <w:sz w:val="11"/>
          <w:szCs w:val="11"/>
          <w:color w:val="auto"/>
        </w:rPr>
        <w:t>Written communications pursuant to Rule 425 under the Securities Act (17 CFR 230.425)</w:t>
      </w:r>
    </w:p>
    <w:p>
      <w:pPr>
        <w:spacing w:after="0" w:line="152" w:lineRule="exact"/>
        <w:rPr>
          <w:rFonts w:ascii="MS PGothic" w:cs="MS PGothic" w:eastAsia="MS PGothic" w:hAnsi="MS PGothic"/>
          <w:sz w:val="11"/>
          <w:szCs w:val="11"/>
          <w:color w:val="auto"/>
        </w:rPr>
      </w:pPr>
    </w:p>
    <w:p>
      <w:pPr>
        <w:ind w:left="348" w:hanging="348"/>
        <w:spacing w:after="0"/>
        <w:tabs>
          <w:tab w:leader="none" w:pos="348" w:val="left"/>
        </w:tabs>
        <w:numPr>
          <w:ilvl w:val="0"/>
          <w:numId w:val="1"/>
        </w:numPr>
        <w:rPr>
          <w:rFonts w:ascii="MS PGothic" w:cs="MS PGothic" w:eastAsia="MS PGothic" w:hAnsi="MS PGothic"/>
          <w:sz w:val="11"/>
          <w:szCs w:val="11"/>
          <w:color w:val="auto"/>
        </w:rPr>
      </w:pPr>
      <w:r>
        <w:rPr>
          <w:rFonts w:ascii="Arial" w:cs="Arial" w:eastAsia="Arial" w:hAnsi="Arial"/>
          <w:sz w:val="11"/>
          <w:szCs w:val="11"/>
          <w:color w:val="auto"/>
        </w:rPr>
        <w:t>Soliciting material pursuant to Rule 14a-12 under the Exchange Act (17 CFR 240.14a-12)</w:t>
      </w:r>
    </w:p>
    <w:p>
      <w:pPr>
        <w:spacing w:after="0" w:line="143" w:lineRule="exact"/>
        <w:rPr>
          <w:rFonts w:ascii="MS PGothic" w:cs="MS PGothic" w:eastAsia="MS PGothic" w:hAnsi="MS PGothic"/>
          <w:sz w:val="11"/>
          <w:szCs w:val="11"/>
          <w:color w:val="auto"/>
        </w:rPr>
      </w:pPr>
    </w:p>
    <w:p>
      <w:pPr>
        <w:ind w:left="348" w:hanging="348"/>
        <w:spacing w:after="0"/>
        <w:tabs>
          <w:tab w:leader="none" w:pos="348" w:val="left"/>
        </w:tabs>
        <w:numPr>
          <w:ilvl w:val="0"/>
          <w:numId w:val="1"/>
        </w:numPr>
        <w:rPr>
          <w:rFonts w:ascii="MS PGothic" w:cs="MS PGothic" w:eastAsia="MS PGothic" w:hAnsi="MS PGothic"/>
          <w:sz w:val="11"/>
          <w:szCs w:val="11"/>
          <w:color w:val="auto"/>
        </w:rPr>
      </w:pPr>
      <w:r>
        <w:rPr>
          <w:rFonts w:ascii="Arial" w:cs="Arial" w:eastAsia="Arial" w:hAnsi="Arial"/>
          <w:sz w:val="11"/>
          <w:szCs w:val="11"/>
          <w:color w:val="auto"/>
        </w:rPr>
        <w:t>Pre-commencement communications pursuant to Rule 14d-2(b) under the Exchange Act (17 CFR 240.14d-2(b))</w:t>
      </w:r>
    </w:p>
    <w:p>
      <w:pPr>
        <w:spacing w:after="0" w:line="143" w:lineRule="exact"/>
        <w:rPr>
          <w:rFonts w:ascii="MS PGothic" w:cs="MS PGothic" w:eastAsia="MS PGothic" w:hAnsi="MS PGothic"/>
          <w:sz w:val="11"/>
          <w:szCs w:val="11"/>
          <w:color w:val="auto"/>
        </w:rPr>
      </w:pPr>
    </w:p>
    <w:p>
      <w:pPr>
        <w:ind w:left="348" w:hanging="348"/>
        <w:spacing w:after="0"/>
        <w:tabs>
          <w:tab w:leader="none" w:pos="348" w:val="left"/>
        </w:tabs>
        <w:numPr>
          <w:ilvl w:val="0"/>
          <w:numId w:val="1"/>
        </w:numPr>
        <w:rPr>
          <w:rFonts w:ascii="MS PGothic" w:cs="MS PGothic" w:eastAsia="MS PGothic" w:hAnsi="MS PGothic"/>
          <w:sz w:val="11"/>
          <w:szCs w:val="11"/>
          <w:color w:val="auto"/>
        </w:rPr>
      </w:pPr>
      <w:r>
        <w:rPr>
          <w:rFonts w:ascii="Arial" w:cs="Arial" w:eastAsia="Arial" w:hAnsi="Arial"/>
          <w:sz w:val="11"/>
          <w:szCs w:val="11"/>
          <w:color w:val="auto"/>
        </w:rPr>
        <w:t>Pre-commencement communications pursuant to Rule 13e-4(c) under the Exchange Act (17 CFR 240.13e-4(c))</w:t>
      </w:r>
    </w:p>
    <w:p>
      <w:pPr>
        <w:spacing w:after="0" w:line="179" w:lineRule="exact"/>
        <w:rPr>
          <w:sz w:val="24"/>
          <w:szCs w:val="24"/>
          <w:color w:val="auto"/>
        </w:rPr>
      </w:pPr>
    </w:p>
    <w:tbl>
      <w:tblPr>
        <w:tblLayout w:type="fixed"/>
        <w:tblInd w:w="8" w:type="dxa"/>
        <w:tblCellMar>
          <w:top w:w="0" w:type="dxa"/>
          <w:left w:w="0" w:type="dxa"/>
          <w:bottom w:w="0" w:type="dxa"/>
          <w:right w:w="0" w:type="dxa"/>
        </w:tblCellMar>
      </w:tblPr>
      <w:tr>
        <w:trPr>
          <w:trHeight w:val="126"/>
        </w:trPr>
        <w:tc>
          <w:tcPr>
            <w:tcW w:w="37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780" w:type="dxa"/>
            <w:vAlign w:val="bottom"/>
            <w:gridSpan w:val="2"/>
          </w:tcPr>
          <w:p>
            <w:pPr>
              <w:jc w:val="center"/>
              <w:ind w:right="100"/>
              <w:spacing w:after="0"/>
              <w:rPr>
                <w:sz w:val="20"/>
                <w:szCs w:val="20"/>
                <w:color w:val="auto"/>
              </w:rPr>
            </w:pPr>
            <w:r>
              <w:rPr>
                <w:rFonts w:ascii="Arial" w:cs="Arial" w:eastAsia="Arial" w:hAnsi="Arial"/>
                <w:sz w:val="11"/>
                <w:szCs w:val="11"/>
                <w:b w:val="1"/>
                <w:bCs w:val="1"/>
                <w:color w:val="auto"/>
                <w:w w:val="99"/>
              </w:rPr>
              <w:t>Trading</w:t>
            </w:r>
          </w:p>
        </w:tc>
        <w:tc>
          <w:tcPr>
            <w:tcW w:w="3720" w:type="dxa"/>
            <w:vAlign w:val="bottom"/>
          </w:tcPr>
          <w:p>
            <w:pPr>
              <w:jc w:val="center"/>
              <w:spacing w:after="0"/>
              <w:rPr>
                <w:sz w:val="20"/>
                <w:szCs w:val="20"/>
                <w:color w:val="auto"/>
              </w:rPr>
            </w:pPr>
            <w:r>
              <w:rPr>
                <w:rFonts w:ascii="Arial" w:cs="Arial" w:eastAsia="Arial" w:hAnsi="Arial"/>
                <w:sz w:val="11"/>
                <w:szCs w:val="11"/>
                <w:b w:val="1"/>
                <w:bCs w:val="1"/>
                <w:color w:val="auto"/>
                <w:w w:val="98"/>
              </w:rPr>
              <w:t>Name of exchange</w:t>
            </w:r>
          </w:p>
        </w:tc>
      </w:tr>
      <w:tr>
        <w:trPr>
          <w:trHeight w:val="155"/>
        </w:trPr>
        <w:tc>
          <w:tcPr>
            <w:tcW w:w="370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auto"/>
                <w:w w:val="97"/>
              </w:rPr>
              <w:t>Title of each class</w:t>
            </w:r>
          </w:p>
        </w:tc>
        <w:tc>
          <w:tcPr>
            <w:tcW w:w="60" w:type="dxa"/>
            <w:vAlign w:val="bottom"/>
          </w:tcPr>
          <w:p>
            <w:pPr>
              <w:spacing w:after="0"/>
              <w:rPr>
                <w:sz w:val="13"/>
                <w:szCs w:val="13"/>
                <w:color w:val="auto"/>
              </w:rPr>
            </w:pPr>
          </w:p>
        </w:tc>
        <w:tc>
          <w:tcPr>
            <w:tcW w:w="372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auto"/>
              </w:rPr>
              <w:t>Symbol</w:t>
            </w:r>
          </w:p>
        </w:tc>
        <w:tc>
          <w:tcPr>
            <w:tcW w:w="60" w:type="dxa"/>
            <w:vAlign w:val="bottom"/>
          </w:tcPr>
          <w:p>
            <w:pPr>
              <w:spacing w:after="0"/>
              <w:rPr>
                <w:sz w:val="13"/>
                <w:szCs w:val="13"/>
                <w:color w:val="auto"/>
              </w:rPr>
            </w:pPr>
          </w:p>
        </w:tc>
        <w:tc>
          <w:tcPr>
            <w:tcW w:w="372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auto"/>
                <w:w w:val="98"/>
              </w:rPr>
              <w:t>on which registered</w:t>
            </w:r>
          </w:p>
        </w:tc>
      </w:tr>
      <w:tr>
        <w:trPr>
          <w:trHeight w:val="144"/>
        </w:trPr>
        <w:tc>
          <w:tcPr>
            <w:tcW w:w="3760" w:type="dxa"/>
            <w:vAlign w:val="bottom"/>
            <w:gridSpan w:val="2"/>
          </w:tcPr>
          <w:p>
            <w:pPr>
              <w:jc w:val="center"/>
              <w:ind w:right="80"/>
              <w:spacing w:after="0"/>
              <w:rPr>
                <w:sz w:val="20"/>
                <w:szCs w:val="20"/>
                <w:color w:val="auto"/>
              </w:rPr>
            </w:pPr>
            <w:r>
              <w:rPr>
                <w:rFonts w:ascii="Arial" w:cs="Arial" w:eastAsia="Arial" w:hAnsi="Arial"/>
                <w:sz w:val="11"/>
                <w:szCs w:val="11"/>
                <w:b w:val="1"/>
                <w:bCs w:val="1"/>
                <w:color w:val="auto"/>
                <w:w w:val="99"/>
              </w:rPr>
              <w:t>Common Stock</w:t>
            </w:r>
          </w:p>
        </w:tc>
        <w:tc>
          <w:tcPr>
            <w:tcW w:w="3780" w:type="dxa"/>
            <w:vAlign w:val="bottom"/>
            <w:gridSpan w:val="2"/>
          </w:tcPr>
          <w:p>
            <w:pPr>
              <w:jc w:val="center"/>
              <w:ind w:right="60"/>
              <w:spacing w:after="0"/>
              <w:rPr>
                <w:sz w:val="20"/>
                <w:szCs w:val="20"/>
                <w:color w:val="auto"/>
              </w:rPr>
            </w:pPr>
            <w:r>
              <w:rPr>
                <w:rFonts w:ascii="Arial" w:cs="Arial" w:eastAsia="Arial" w:hAnsi="Arial"/>
                <w:sz w:val="11"/>
                <w:szCs w:val="11"/>
                <w:b w:val="1"/>
                <w:bCs w:val="1"/>
                <w:color w:val="auto"/>
                <w:w w:val="93"/>
              </w:rPr>
              <w:t>CNTX</w:t>
            </w:r>
          </w:p>
        </w:tc>
        <w:tc>
          <w:tcPr>
            <w:tcW w:w="3720" w:type="dxa"/>
            <w:vAlign w:val="bottom"/>
          </w:tcPr>
          <w:p>
            <w:pPr>
              <w:jc w:val="center"/>
              <w:spacing w:after="0"/>
              <w:rPr>
                <w:sz w:val="20"/>
                <w:szCs w:val="20"/>
                <w:color w:val="auto"/>
              </w:rPr>
            </w:pPr>
            <w:r>
              <w:rPr>
                <w:rFonts w:ascii="Arial" w:cs="Arial" w:eastAsia="Arial" w:hAnsi="Arial"/>
                <w:sz w:val="11"/>
                <w:szCs w:val="11"/>
                <w:b w:val="1"/>
                <w:bCs w:val="1"/>
                <w:color w:val="auto"/>
                <w:w w:val="98"/>
              </w:rPr>
              <w:t>The Nasdaq Stock Market</w:t>
            </w:r>
          </w:p>
        </w:tc>
      </w:tr>
      <w:tr>
        <w:trPr>
          <w:trHeight w:val="162"/>
        </w:trPr>
        <w:tc>
          <w:tcPr>
            <w:tcW w:w="3760" w:type="dxa"/>
            <w:vAlign w:val="bottom"/>
            <w:gridSpan w:val="2"/>
          </w:tcPr>
          <w:p>
            <w:pPr>
              <w:jc w:val="center"/>
              <w:ind w:right="80"/>
              <w:spacing w:after="0"/>
              <w:rPr>
                <w:sz w:val="20"/>
                <w:szCs w:val="20"/>
                <w:color w:val="auto"/>
              </w:rPr>
            </w:pPr>
            <w:r>
              <w:rPr>
                <w:rFonts w:ascii="Arial" w:cs="Arial" w:eastAsia="Arial" w:hAnsi="Arial"/>
                <w:sz w:val="11"/>
                <w:szCs w:val="11"/>
                <w:b w:val="1"/>
                <w:bCs w:val="1"/>
                <w:color w:val="auto"/>
                <w:w w:val="98"/>
              </w:rPr>
              <w:t>$0.001 par value per share</w:t>
            </w:r>
          </w:p>
        </w:tc>
        <w:tc>
          <w:tcPr>
            <w:tcW w:w="37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720" w:type="dxa"/>
            <w:vAlign w:val="bottom"/>
          </w:tcPr>
          <w:p>
            <w:pPr>
              <w:spacing w:after="0"/>
              <w:rPr>
                <w:sz w:val="14"/>
                <w:szCs w:val="14"/>
                <w:color w:val="auto"/>
              </w:rPr>
            </w:pPr>
          </w:p>
        </w:tc>
      </w:tr>
    </w:tbl>
    <w:p>
      <w:pPr>
        <w:spacing w:after="0" w:line="203" w:lineRule="exact"/>
        <w:rPr>
          <w:sz w:val="24"/>
          <w:szCs w:val="24"/>
          <w:color w:val="auto"/>
        </w:rPr>
      </w:pPr>
    </w:p>
    <w:p>
      <w:pPr>
        <w:ind w:left="8" w:right="280"/>
        <w:spacing w:after="0" w:line="285" w:lineRule="auto"/>
        <w:rPr>
          <w:sz w:val="20"/>
          <w:szCs w:val="20"/>
          <w:color w:val="auto"/>
        </w:rPr>
      </w:pPr>
      <w:r>
        <w:rPr>
          <w:rFonts w:ascii="Arial" w:cs="Arial" w:eastAsia="Arial" w:hAnsi="Arial"/>
          <w:sz w:val="11"/>
          <w:szCs w:val="11"/>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80" w:lineRule="exact"/>
        <w:rPr>
          <w:sz w:val="24"/>
          <w:szCs w:val="24"/>
          <w:color w:val="auto"/>
        </w:rPr>
      </w:pPr>
    </w:p>
    <w:p>
      <w:pPr>
        <w:ind w:left="8"/>
        <w:spacing w:after="0" w:line="127" w:lineRule="exact"/>
        <w:rPr>
          <w:sz w:val="20"/>
          <w:szCs w:val="20"/>
          <w:color w:val="auto"/>
        </w:rPr>
      </w:pPr>
      <w:r>
        <w:rPr>
          <w:rFonts w:ascii="Arial" w:cs="Arial" w:eastAsia="Arial" w:hAnsi="Arial"/>
          <w:sz w:val="11"/>
          <w:szCs w:val="11"/>
          <w:color w:val="auto"/>
        </w:rPr>
        <w:t xml:space="preserve">Emerging growth company </w:t>
      </w:r>
      <w:r>
        <w:rPr>
          <w:rFonts w:ascii="MS PGothic" w:cs="MS PGothic" w:eastAsia="MS PGothic" w:hAnsi="MS PGothic"/>
          <w:sz w:val="11"/>
          <w:szCs w:val="11"/>
          <w:color w:val="auto"/>
        </w:rPr>
        <w:t>☒</w:t>
      </w:r>
    </w:p>
    <w:p>
      <w:pPr>
        <w:spacing w:after="0" w:line="177" w:lineRule="exact"/>
        <w:rPr>
          <w:sz w:val="24"/>
          <w:szCs w:val="24"/>
          <w:color w:val="auto"/>
        </w:rPr>
      </w:pPr>
    </w:p>
    <w:p>
      <w:pPr>
        <w:ind w:left="8" w:right="20"/>
        <w:spacing w:after="0" w:line="141" w:lineRule="exact"/>
        <w:rPr>
          <w:sz w:val="20"/>
          <w:szCs w:val="20"/>
          <w:color w:val="auto"/>
        </w:rPr>
      </w:pPr>
      <w:r>
        <w:rPr>
          <w:rFonts w:ascii="Arial" w:cs="Arial" w:eastAsia="Arial" w:hAnsi="Arial"/>
          <w:sz w:val="11"/>
          <w:szCs w:val="11"/>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1"/>
          <w:szCs w:val="11"/>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425450</wp:posOffset>
            </wp:positionV>
            <wp:extent cx="7203440" cy="3683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03440" cy="36830"/>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100965</wp:posOffset>
            </wp:positionV>
            <wp:extent cx="7172325" cy="571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72325" cy="5715"/>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118110</wp:posOffset>
            </wp:positionV>
            <wp:extent cx="7172325" cy="571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2325" cy="5715"/>
                    </a:xfrm>
                    <a:prstGeom prst="rect">
                      <a:avLst/>
                    </a:prstGeom>
                    <a:noFill/>
                  </pic:spPr>
                </pic:pic>
              </a:graphicData>
            </a:graphic>
          </wp:anchor>
        </w:drawing>
      </w:r>
    </w:p>
    <w:p>
      <w:pPr>
        <w:sectPr>
          <w:pgSz w:w="11900" w:h="16838" w:orient="portrait"/>
          <w:cols w:equalWidth="0" w:num="1">
            <w:col w:w="11268"/>
          </w:cols>
          <w:pgMar w:left="292" w:top="684" w:right="339" w:bottom="1440" w:gutter="0" w:footer="0" w:header="0"/>
        </w:sectPr>
      </w:pPr>
    </w:p>
    <w:bookmarkStart w:id="1" w:name="page2"/>
    <w:bookmarkEnd w:id="1"/>
    <w:p>
      <w:pPr>
        <w:spacing w:after="0"/>
        <w:tabs>
          <w:tab w:leader="none" w:pos="620" w:val="left"/>
        </w:tabs>
        <w:rPr>
          <w:sz w:val="20"/>
          <w:szCs w:val="20"/>
          <w:color w:val="auto"/>
        </w:rPr>
      </w:pPr>
      <w:r>
        <w:rPr>
          <w:rFonts w:ascii="Arial" w:cs="Arial" w:eastAsia="Arial" w:hAnsi="Arial"/>
          <w:sz w:val="11"/>
          <w:szCs w:val="11"/>
          <w:b w:val="1"/>
          <w:bCs w:val="1"/>
          <w:color w:val="auto"/>
        </w:rPr>
        <w:t>Item 7.01.</w:t>
      </w:r>
      <w:r>
        <w:rPr>
          <w:sz w:val="20"/>
          <w:szCs w:val="20"/>
          <w:color w:val="auto"/>
        </w:rPr>
        <w:tab/>
      </w:r>
      <w:r>
        <w:rPr>
          <w:rFonts w:ascii="Arial" w:cs="Arial" w:eastAsia="Arial" w:hAnsi="Arial"/>
          <w:sz w:val="10"/>
          <w:szCs w:val="10"/>
          <w:b w:val="1"/>
          <w:bCs w:val="1"/>
          <w:color w:val="auto"/>
        </w:rPr>
        <w:t>Regulation FD Disclosure.</w:t>
      </w:r>
    </w:p>
    <w:p>
      <w:pPr>
        <w:spacing w:after="0" w:line="153" w:lineRule="exact"/>
        <w:rPr>
          <w:sz w:val="20"/>
          <w:szCs w:val="20"/>
          <w:color w:val="auto"/>
        </w:rPr>
      </w:pPr>
    </w:p>
    <w:p>
      <w:pPr>
        <w:spacing w:after="0" w:line="250" w:lineRule="auto"/>
        <w:rPr>
          <w:sz w:val="20"/>
          <w:szCs w:val="20"/>
          <w:color w:val="auto"/>
        </w:rPr>
      </w:pPr>
      <w:r>
        <w:rPr>
          <w:rFonts w:ascii="Arial" w:cs="Arial" w:eastAsia="Arial" w:hAnsi="Arial"/>
          <w:sz w:val="11"/>
          <w:szCs w:val="11"/>
          <w:color w:val="auto"/>
        </w:rPr>
        <w:t>On June 15, 2026, Context Therapeutics Inc. (the “Company”) posted an updated corporate presentation on its website at www.contexttherapeutics.com. A copy of the presentation is filed as Exhibit 99.1 to this Current Report on Form 8-K and incorporated herein by reference into this Item 7.01.</w:t>
      </w:r>
    </w:p>
    <w:p>
      <w:pPr>
        <w:spacing w:after="0" w:line="141" w:lineRule="exact"/>
        <w:rPr>
          <w:sz w:val="20"/>
          <w:szCs w:val="20"/>
          <w:color w:val="auto"/>
        </w:rPr>
      </w:pPr>
    </w:p>
    <w:p>
      <w:pPr>
        <w:spacing w:after="0" w:line="253" w:lineRule="auto"/>
        <w:rPr>
          <w:sz w:val="20"/>
          <w:szCs w:val="20"/>
          <w:color w:val="auto"/>
        </w:rPr>
      </w:pPr>
      <w:r>
        <w:rPr>
          <w:rFonts w:ascii="Arial" w:cs="Arial" w:eastAsia="Arial" w:hAnsi="Arial"/>
          <w:sz w:val="11"/>
          <w:szCs w:val="11"/>
          <w:color w:val="auto"/>
        </w:rPr>
        <w:t>The information in this Item 7.01, and Exhibit 99.1 attached hereto, are being furnished and shall not be deemed “filed” for the purposes of Section 18 of the Securities Exchange Act of 1934, as amended (the "Exchange Act"), or otherwise subject to the liabilities of that section, nor shall it be deemed incorporated by reference in any filing under the Securities Act of 1933, as amended, or the Exchange Act, regardless of any general incorporation language in such filing.</w:t>
      </w:r>
    </w:p>
    <w:p>
      <w:pPr>
        <w:spacing w:after="0" w:line="302" w:lineRule="exact"/>
        <w:rPr>
          <w:sz w:val="20"/>
          <w:szCs w:val="20"/>
          <w:color w:val="auto"/>
        </w:rPr>
      </w:pPr>
    </w:p>
    <w:p>
      <w:pPr>
        <w:spacing w:after="0"/>
        <w:tabs>
          <w:tab w:leader="none" w:pos="620" w:val="left"/>
        </w:tabs>
        <w:rPr>
          <w:sz w:val="20"/>
          <w:szCs w:val="20"/>
          <w:color w:val="auto"/>
        </w:rPr>
      </w:pPr>
      <w:r>
        <w:rPr>
          <w:rFonts w:ascii="Arial" w:cs="Arial" w:eastAsia="Arial" w:hAnsi="Arial"/>
          <w:sz w:val="11"/>
          <w:szCs w:val="11"/>
          <w:b w:val="1"/>
          <w:bCs w:val="1"/>
          <w:color w:val="auto"/>
        </w:rPr>
        <w:t>Item 8.01.</w:t>
      </w:r>
      <w:r>
        <w:rPr>
          <w:sz w:val="20"/>
          <w:szCs w:val="20"/>
          <w:color w:val="auto"/>
        </w:rPr>
        <w:tab/>
      </w:r>
      <w:r>
        <w:rPr>
          <w:rFonts w:ascii="Arial" w:cs="Arial" w:eastAsia="Arial" w:hAnsi="Arial"/>
          <w:sz w:val="10"/>
          <w:szCs w:val="10"/>
          <w:b w:val="1"/>
          <w:bCs w:val="1"/>
          <w:color w:val="auto"/>
        </w:rPr>
        <w:t>Other Events.</w:t>
      </w:r>
    </w:p>
    <w:p>
      <w:pPr>
        <w:spacing w:after="0" w:line="153" w:lineRule="exact"/>
        <w:rPr>
          <w:sz w:val="20"/>
          <w:szCs w:val="20"/>
          <w:color w:val="auto"/>
        </w:rPr>
      </w:pPr>
    </w:p>
    <w:p>
      <w:pPr>
        <w:ind w:right="60"/>
        <w:spacing w:after="0" w:line="250" w:lineRule="auto"/>
        <w:rPr>
          <w:sz w:val="20"/>
          <w:szCs w:val="20"/>
          <w:color w:val="auto"/>
        </w:rPr>
      </w:pPr>
      <w:r>
        <w:rPr>
          <w:rFonts w:ascii="Arial" w:cs="Arial" w:eastAsia="Arial" w:hAnsi="Arial"/>
          <w:sz w:val="11"/>
          <w:szCs w:val="11"/>
          <w:color w:val="auto"/>
        </w:rPr>
        <w:t>On June 15, 2026, the Company issued a press release announcing positive interim efficacy and safety results from its ongoing Phase 1 clinical trial for CTIM-76, the Company’s investigational Claudin 6 x CD3 T cell engaging bispecific antibody. A copy of the press release is filed as Exhibit 99.2 to this Current Report on Form 8-K and incorporated herein by reference into this Item 8.01.</w:t>
      </w:r>
    </w:p>
    <w:p>
      <w:pPr>
        <w:spacing w:after="0" w:line="141" w:lineRule="exact"/>
        <w:rPr>
          <w:sz w:val="20"/>
          <w:szCs w:val="20"/>
          <w:color w:val="auto"/>
        </w:rPr>
      </w:pPr>
    </w:p>
    <w:p>
      <w:pPr>
        <w:ind w:right="20"/>
        <w:spacing w:after="0" w:line="268" w:lineRule="auto"/>
        <w:rPr>
          <w:sz w:val="20"/>
          <w:szCs w:val="20"/>
          <w:color w:val="auto"/>
        </w:rPr>
      </w:pPr>
      <w:r>
        <w:rPr>
          <w:rFonts w:ascii="Arial" w:cs="Arial" w:eastAsia="Arial" w:hAnsi="Arial"/>
          <w:sz w:val="11"/>
          <w:szCs w:val="11"/>
          <w:color w:val="auto"/>
        </w:rPr>
        <w:t>On June 15, 2026, the Company also hosted a conference call to discuss the interim CTIM-76 Phase 1 clinical trial data. A copy of the presentation used during the conference call is filed as Exhibit 99.3 to this Current Report on Form 8-K and incorporated herein by reference into this Item 8.01.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779145</wp:posOffset>
            </wp:positionV>
            <wp:extent cx="7203440" cy="3683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260"/>
          </w:cols>
          <w:pgMar w:left="300" w:top="347" w:right="339" w:bottom="1440" w:gutter="0" w:footer="0" w:header="0"/>
        </w:sectPr>
      </w:pPr>
    </w:p>
    <w:bookmarkStart w:id="2" w:name="page3"/>
    <w:bookmarkEnd w:id="2"/>
    <w:p>
      <w:pPr>
        <w:spacing w:after="0"/>
        <w:rPr>
          <w:sz w:val="20"/>
          <w:szCs w:val="20"/>
          <w:color w:val="auto"/>
        </w:rPr>
      </w:pPr>
      <w:r>
        <w:rPr>
          <w:rFonts w:ascii="Arial" w:cs="Arial" w:eastAsia="Arial" w:hAnsi="Arial"/>
          <w:sz w:val="11"/>
          <w:szCs w:val="11"/>
          <w:b w:val="1"/>
          <w:bCs w:val="1"/>
          <w:color w:val="auto"/>
        </w:rPr>
        <w:t>Item 9.01. Exhibits.</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w:t>
      </w:r>
      <w:r>
        <w:rPr>
          <w:rFonts w:ascii="Arial" w:cs="Arial" w:eastAsia="Arial" w:hAnsi="Arial"/>
          <w:sz w:val="10"/>
          <w:szCs w:val="10"/>
          <w:b w:val="1"/>
          <w:bCs w:val="1"/>
          <w:color w:val="auto"/>
        </w:rPr>
        <w:t>d) Exhibits</w:t>
      </w:r>
    </w:p>
    <w:p>
      <w:pPr>
        <w:spacing w:after="0" w:line="162" w:lineRule="exact"/>
        <w:rPr>
          <w:sz w:val="20"/>
          <w:szCs w:val="20"/>
          <w:color w:val="auto"/>
        </w:rPr>
      </w:pPr>
    </w:p>
    <w:p>
      <w:pPr>
        <w:spacing w:after="0"/>
        <w:tabs>
          <w:tab w:leader="none" w:pos="660" w:val="left"/>
        </w:tabs>
        <w:rPr>
          <w:sz w:val="20"/>
          <w:szCs w:val="20"/>
          <w:color w:val="auto"/>
        </w:rPr>
      </w:pPr>
      <w:r>
        <w:rPr>
          <w:rFonts w:ascii="Arial" w:cs="Arial" w:eastAsia="Arial" w:hAnsi="Arial"/>
          <w:sz w:val="11"/>
          <w:szCs w:val="11"/>
          <w:b w:val="1"/>
          <w:bCs w:val="1"/>
          <w:u w:val="single" w:color="auto"/>
          <w:color w:val="auto"/>
        </w:rPr>
        <w:t>Exhibit No.</w:t>
      </w:r>
      <w:r>
        <w:rPr>
          <w:sz w:val="20"/>
          <w:szCs w:val="20"/>
          <w:color w:val="auto"/>
        </w:rPr>
        <w:tab/>
      </w:r>
      <w:r>
        <w:rPr>
          <w:rFonts w:ascii="Arial" w:cs="Arial" w:eastAsia="Arial" w:hAnsi="Arial"/>
          <w:sz w:val="10"/>
          <w:szCs w:val="10"/>
          <w:b w:val="1"/>
          <w:bCs w:val="1"/>
          <w:u w:val="single" w:color="auto"/>
          <w:color w:val="auto"/>
        </w:rPr>
        <w:t>Description</w:t>
      </w:r>
    </w:p>
    <w:p>
      <w:pPr>
        <w:spacing w:after="0" w:line="9" w:lineRule="exact"/>
        <w:rPr>
          <w:sz w:val="20"/>
          <w:szCs w:val="20"/>
          <w:color w:val="auto"/>
        </w:rPr>
      </w:pPr>
    </w:p>
    <w:p>
      <w:pPr>
        <w:spacing w:after="0"/>
        <w:tabs>
          <w:tab w:leader="none" w:pos="300" w:val="left"/>
        </w:tabs>
        <w:rPr>
          <w:sz w:val="20"/>
          <w:szCs w:val="20"/>
          <w:color w:val="auto"/>
        </w:rPr>
      </w:pPr>
      <w:r>
        <w:rPr>
          <w:rFonts w:ascii="Arial" w:cs="Arial" w:eastAsia="Arial" w:hAnsi="Arial"/>
          <w:sz w:val="11"/>
          <w:szCs w:val="11"/>
          <w:color w:val="auto"/>
        </w:rPr>
        <w:t>99.1</w:t>
      </w:r>
      <w:r>
        <w:rPr>
          <w:sz w:val="20"/>
          <w:szCs w:val="20"/>
          <w:color w:val="auto"/>
        </w:rPr>
        <w:tab/>
      </w:r>
      <w:r>
        <w:rPr>
          <w:rFonts w:ascii="Arial" w:cs="Arial" w:eastAsia="Arial" w:hAnsi="Arial"/>
          <w:sz w:val="10"/>
          <w:szCs w:val="10"/>
          <w:u w:val="single" w:color="auto"/>
          <w:color w:val="0000FF"/>
        </w:rPr>
        <w:t>Context Therapeutics Inc. Corporate Presentation — June 2026</w:t>
      </w:r>
    </w:p>
    <w:p>
      <w:pPr>
        <w:spacing w:after="0"/>
        <w:tabs>
          <w:tab w:leader="none" w:pos="300" w:val="left"/>
        </w:tabs>
        <w:rPr>
          <w:sz w:val="20"/>
          <w:szCs w:val="20"/>
          <w:color w:val="auto"/>
        </w:rPr>
      </w:pPr>
      <w:r>
        <w:rPr>
          <w:rFonts w:ascii="Arial" w:cs="Arial" w:eastAsia="Arial" w:hAnsi="Arial"/>
          <w:sz w:val="11"/>
          <w:szCs w:val="11"/>
          <w:color w:val="auto"/>
        </w:rPr>
        <w:t>99.2</w:t>
      </w:r>
      <w:r>
        <w:rPr>
          <w:sz w:val="20"/>
          <w:szCs w:val="20"/>
          <w:color w:val="auto"/>
        </w:rPr>
        <w:tab/>
      </w:r>
      <w:r>
        <w:rPr>
          <w:rFonts w:ascii="Arial" w:cs="Arial" w:eastAsia="Arial" w:hAnsi="Arial"/>
          <w:sz w:val="10"/>
          <w:szCs w:val="10"/>
          <w:u w:val="single" w:color="auto"/>
          <w:color w:val="0000FF"/>
        </w:rPr>
        <w:t>Press Release issued by Context Therapeutics Inc., dated June 15, 2026</w:t>
      </w:r>
    </w:p>
    <w:p>
      <w:pPr>
        <w:spacing w:after="0"/>
        <w:tabs>
          <w:tab w:leader="none" w:pos="300" w:val="left"/>
        </w:tabs>
        <w:rPr>
          <w:sz w:val="20"/>
          <w:szCs w:val="20"/>
          <w:color w:val="auto"/>
        </w:rPr>
      </w:pPr>
      <w:r>
        <w:rPr>
          <w:rFonts w:ascii="Arial" w:cs="Arial" w:eastAsia="Arial" w:hAnsi="Arial"/>
          <w:sz w:val="11"/>
          <w:szCs w:val="11"/>
          <w:color w:val="auto"/>
        </w:rPr>
        <w:t>99.3</w:t>
      </w:r>
      <w:r>
        <w:rPr>
          <w:sz w:val="20"/>
          <w:szCs w:val="20"/>
          <w:color w:val="auto"/>
        </w:rPr>
        <w:tab/>
      </w:r>
      <w:r>
        <w:rPr>
          <w:rFonts w:ascii="Arial" w:cs="Arial" w:eastAsia="Arial" w:hAnsi="Arial"/>
          <w:sz w:val="10"/>
          <w:szCs w:val="10"/>
          <w:u w:val="single" w:color="auto"/>
          <w:color w:val="0000FF"/>
        </w:rPr>
        <w:t>Context Therapeutics Inc. Phase 1 Interim Results Presentation, dated June 15, 2026</w:t>
      </w:r>
    </w:p>
    <w:p>
      <w:pPr>
        <w:spacing w:after="0"/>
        <w:tabs>
          <w:tab w:leader="none" w:pos="280" w:val="left"/>
        </w:tabs>
        <w:rPr>
          <w:sz w:val="20"/>
          <w:szCs w:val="20"/>
          <w:color w:val="auto"/>
        </w:rPr>
      </w:pPr>
      <w:r>
        <w:rPr>
          <w:rFonts w:ascii="Arial" w:cs="Arial" w:eastAsia="Arial" w:hAnsi="Arial"/>
          <w:sz w:val="11"/>
          <w:szCs w:val="11"/>
          <w:color w:val="auto"/>
        </w:rPr>
        <w:t>104</w:t>
        <w:tab/>
        <w:t>Cover Page Interactive Data File (embedded within the inline XBRL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1203325</wp:posOffset>
            </wp:positionV>
            <wp:extent cx="7203440" cy="3683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0159"/>
          </w:cols>
          <w:pgMar w:left="300" w:top="347" w:right="1440" w:bottom="1440" w:gutter="0" w:footer="0" w:header="0"/>
        </w:sectPr>
      </w:pPr>
    </w:p>
    <w:bookmarkStart w:id="3" w:name="page4"/>
    <w:bookmarkEnd w:id="3"/>
    <w:p>
      <w:pPr>
        <w:jc w:val="center"/>
        <w:spacing w:after="0"/>
        <w:rPr>
          <w:sz w:val="20"/>
          <w:szCs w:val="20"/>
          <w:color w:val="auto"/>
        </w:rPr>
      </w:pPr>
      <w:r>
        <w:rPr>
          <w:rFonts w:ascii="Arial" w:cs="Arial" w:eastAsia="Arial" w:hAnsi="Arial"/>
          <w:sz w:val="11"/>
          <w:szCs w:val="11"/>
          <w:b w:val="1"/>
          <w:bCs w:val="1"/>
          <w:color w:val="auto"/>
        </w:rPr>
        <w:t>SIGNATURES</w:t>
      </w:r>
    </w:p>
    <w:p>
      <w:pPr>
        <w:spacing w:after="0" w:line="144" w:lineRule="exact"/>
        <w:rPr>
          <w:sz w:val="20"/>
          <w:szCs w:val="20"/>
          <w:color w:val="auto"/>
        </w:rPr>
      </w:pPr>
    </w:p>
    <w:p>
      <w:pPr>
        <w:ind w:left="260"/>
        <w:spacing w:after="0"/>
        <w:rPr>
          <w:sz w:val="20"/>
          <w:szCs w:val="20"/>
          <w:color w:val="auto"/>
        </w:rPr>
      </w:pPr>
      <w:r>
        <w:rPr>
          <w:rFonts w:ascii="Arial" w:cs="Arial" w:eastAsia="Arial" w:hAnsi="Arial"/>
          <w:sz w:val="11"/>
          <w:szCs w:val="11"/>
          <w:color w:val="auto"/>
        </w:rPr>
        <w:t>Pursuant to the requirements of the Securities Exchange Act of 1934, the registrant has duly caused this report to be signed on its behalf by the undersigned hereunto duly authorized.</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148"/>
        </w:trPr>
        <w:tc>
          <w:tcPr>
            <w:tcW w:w="3600" w:type="dxa"/>
            <w:vAlign w:val="bottom"/>
          </w:tcPr>
          <w:p>
            <w:pPr>
              <w:spacing w:after="0"/>
              <w:rPr>
                <w:sz w:val="20"/>
                <w:szCs w:val="20"/>
                <w:color w:val="auto"/>
              </w:rPr>
            </w:pPr>
            <w:r>
              <w:rPr>
                <w:rFonts w:ascii="Arial" w:cs="Arial" w:eastAsia="Arial" w:hAnsi="Arial"/>
                <w:sz w:val="11"/>
                <w:szCs w:val="11"/>
                <w:color w:val="auto"/>
              </w:rPr>
              <w:t>Dated: June 15, 2026</w:t>
            </w:r>
          </w:p>
        </w:tc>
        <w:tc>
          <w:tcPr>
            <w:tcW w:w="7680" w:type="dxa"/>
            <w:vAlign w:val="bottom"/>
            <w:gridSpan w:val="2"/>
          </w:tcPr>
          <w:p>
            <w:pPr>
              <w:ind w:left="2560"/>
              <w:spacing w:after="0"/>
              <w:rPr>
                <w:sz w:val="20"/>
                <w:szCs w:val="20"/>
                <w:color w:val="auto"/>
              </w:rPr>
            </w:pPr>
            <w:r>
              <w:rPr>
                <w:rFonts w:ascii="Arial" w:cs="Arial" w:eastAsia="Arial" w:hAnsi="Arial"/>
                <w:sz w:val="11"/>
                <w:szCs w:val="11"/>
                <w:b w:val="1"/>
                <w:bCs w:val="1"/>
                <w:color w:val="auto"/>
              </w:rPr>
              <w:t>Context Therapeutics Inc.</w:t>
            </w:r>
          </w:p>
        </w:tc>
      </w:tr>
      <w:tr>
        <w:trPr>
          <w:trHeight w:val="345"/>
        </w:trPr>
        <w:tc>
          <w:tcPr>
            <w:tcW w:w="3600" w:type="dxa"/>
            <w:vAlign w:val="bottom"/>
          </w:tcPr>
          <w:p>
            <w:pPr>
              <w:spacing w:after="0"/>
              <w:rPr>
                <w:sz w:val="24"/>
                <w:szCs w:val="24"/>
                <w:color w:val="auto"/>
              </w:rPr>
            </w:pPr>
          </w:p>
        </w:tc>
        <w:tc>
          <w:tcPr>
            <w:tcW w:w="3060" w:type="dxa"/>
            <w:vAlign w:val="bottom"/>
          </w:tcPr>
          <w:p>
            <w:pPr>
              <w:ind w:left="2560"/>
              <w:spacing w:after="0"/>
              <w:rPr>
                <w:sz w:val="20"/>
                <w:szCs w:val="20"/>
                <w:color w:val="auto"/>
              </w:rPr>
            </w:pPr>
            <w:r>
              <w:rPr>
                <w:rFonts w:ascii="Arial" w:cs="Arial" w:eastAsia="Arial" w:hAnsi="Arial"/>
                <w:sz w:val="11"/>
                <w:szCs w:val="11"/>
                <w:color w:val="auto"/>
              </w:rPr>
              <w:t>By:</w:t>
            </w:r>
          </w:p>
        </w:tc>
        <w:tc>
          <w:tcPr>
            <w:tcW w:w="4620" w:type="dxa"/>
            <w:vAlign w:val="bottom"/>
            <w:tcBorders>
              <w:bottom w:val="single" w:sz="8" w:color="auto"/>
            </w:tcBorders>
          </w:tcPr>
          <w:p>
            <w:pPr>
              <w:ind w:left="20"/>
              <w:spacing w:after="0"/>
              <w:rPr>
                <w:sz w:val="20"/>
                <w:szCs w:val="20"/>
                <w:color w:val="auto"/>
              </w:rPr>
            </w:pPr>
            <w:r>
              <w:rPr>
                <w:rFonts w:ascii="Arial" w:cs="Arial" w:eastAsia="Arial" w:hAnsi="Arial"/>
                <w:sz w:val="11"/>
                <w:szCs w:val="11"/>
                <w:color w:val="auto"/>
              </w:rPr>
              <w:t>/s/ Martin A. Lehr</w:t>
            </w:r>
          </w:p>
        </w:tc>
      </w:tr>
      <w:tr>
        <w:trPr>
          <w:trHeight w:val="142"/>
        </w:trPr>
        <w:tc>
          <w:tcPr>
            <w:tcW w:w="3600" w:type="dxa"/>
            <w:vAlign w:val="bottom"/>
          </w:tcPr>
          <w:p>
            <w:pPr>
              <w:spacing w:after="0"/>
              <w:rPr>
                <w:sz w:val="12"/>
                <w:szCs w:val="12"/>
                <w:color w:val="auto"/>
              </w:rPr>
            </w:pPr>
          </w:p>
        </w:tc>
        <w:tc>
          <w:tcPr>
            <w:tcW w:w="3060" w:type="dxa"/>
            <w:vAlign w:val="bottom"/>
          </w:tcPr>
          <w:p>
            <w:pPr>
              <w:spacing w:after="0"/>
              <w:rPr>
                <w:sz w:val="12"/>
                <w:szCs w:val="12"/>
                <w:color w:val="auto"/>
              </w:rPr>
            </w:pPr>
          </w:p>
        </w:tc>
        <w:tc>
          <w:tcPr>
            <w:tcW w:w="4620" w:type="dxa"/>
            <w:vAlign w:val="bottom"/>
          </w:tcPr>
          <w:p>
            <w:pPr>
              <w:ind w:left="20"/>
              <w:spacing w:after="0"/>
              <w:rPr>
                <w:sz w:val="20"/>
                <w:szCs w:val="20"/>
                <w:color w:val="auto"/>
              </w:rPr>
            </w:pPr>
            <w:r>
              <w:rPr>
                <w:rFonts w:ascii="Arial" w:cs="Arial" w:eastAsia="Arial" w:hAnsi="Arial"/>
                <w:sz w:val="11"/>
                <w:szCs w:val="11"/>
                <w:color w:val="auto"/>
              </w:rPr>
              <w:t>Name: Martin A. Lehr</w:t>
            </w:r>
          </w:p>
        </w:tc>
      </w:tr>
      <w:tr>
        <w:trPr>
          <w:trHeight w:val="162"/>
        </w:trPr>
        <w:tc>
          <w:tcPr>
            <w:tcW w:w="3600" w:type="dxa"/>
            <w:vAlign w:val="bottom"/>
          </w:tcPr>
          <w:p>
            <w:pPr>
              <w:spacing w:after="0"/>
              <w:rPr>
                <w:sz w:val="14"/>
                <w:szCs w:val="14"/>
                <w:color w:val="auto"/>
              </w:rPr>
            </w:pPr>
          </w:p>
        </w:tc>
        <w:tc>
          <w:tcPr>
            <w:tcW w:w="3060" w:type="dxa"/>
            <w:vAlign w:val="bottom"/>
          </w:tcPr>
          <w:p>
            <w:pPr>
              <w:spacing w:after="0"/>
              <w:rPr>
                <w:sz w:val="14"/>
                <w:szCs w:val="14"/>
                <w:color w:val="auto"/>
              </w:rPr>
            </w:pPr>
          </w:p>
        </w:tc>
        <w:tc>
          <w:tcPr>
            <w:tcW w:w="4620" w:type="dxa"/>
            <w:vAlign w:val="bottom"/>
          </w:tcPr>
          <w:p>
            <w:pPr>
              <w:ind w:left="20"/>
              <w:spacing w:after="0"/>
              <w:rPr>
                <w:sz w:val="20"/>
                <w:szCs w:val="20"/>
                <w:color w:val="auto"/>
              </w:rPr>
            </w:pPr>
            <w:r>
              <w:rPr>
                <w:rFonts w:ascii="Arial" w:cs="Arial" w:eastAsia="Arial" w:hAnsi="Arial"/>
                <w:sz w:val="11"/>
                <w:szCs w:val="11"/>
                <w:color w:val="auto"/>
              </w:rPr>
              <w:t>Title: Chief Executive Officer</w:t>
            </w:r>
          </w:p>
        </w:tc>
      </w:tr>
    </w:tbl>
    <w:p>
      <w:pPr>
        <w:sectPr>
          <w:pgSz w:w="11900" w:h="16838" w:orient="portrait"/>
          <w:cols w:equalWidth="0" w:num="1">
            <w:col w:w="11280"/>
          </w:cols>
          <w:pgMar w:left="300" w:top="995" w:right="319" w:bottom="1440" w:gutter="0" w:footer="0" w:header="0"/>
        </w:sectPr>
      </w:pPr>
    </w:p>
    <w:bookmarkStart w:id="4" w:name="page5"/>
    <w:bookmarkEnd w:id="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271780</wp:posOffset>
            </wp:positionV>
            <wp:extent cx="7130415" cy="34042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 w:name="page6"/>
    <w:bookmarkEnd w:id="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995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0415" cy="34099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 w:name="page7"/>
    <w:bookmarkEnd w:id="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 w:name="page8"/>
    <w:bookmarkEnd w:id="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 w:name="page9"/>
    <w:bookmarkEnd w:id="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 w:name="page10"/>
    <w:bookmarkEnd w:id="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 w:name="page11"/>
    <w:bookmarkEnd w:id="1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 w:name="page12"/>
    <w:bookmarkEnd w:id="1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 w:name="page13"/>
    <w:bookmarkEnd w:id="1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 w:name="page14"/>
    <w:bookmarkEnd w:id="1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 w:name="page15"/>
    <w:bookmarkEnd w:id="1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 w:name="page16"/>
    <w:bookmarkEnd w:id="1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 w:name="page17"/>
    <w:bookmarkEnd w:id="1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 w:name="page18"/>
    <w:bookmarkEnd w:id="1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 w:name="page19"/>
    <w:bookmarkEnd w:id="1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 w:name="page20"/>
    <w:bookmarkEnd w:id="1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 w:name="page21"/>
    <w:bookmarkEnd w:id="2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 w:name="page22"/>
    <w:bookmarkEnd w:id="2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 w:name="page23"/>
    <w:bookmarkEnd w:id="2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3" w:name="page24"/>
    <w:bookmarkEnd w:id="2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4" w:name="page25"/>
    <w:bookmarkEnd w:id="2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5" w:name="page26"/>
    <w:bookmarkEnd w:id="2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6" w:name="page27"/>
    <w:bookmarkEnd w:id="2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7" w:name="page28"/>
    <w:bookmarkEnd w:id="2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8" w:name="page29"/>
    <w:bookmarkEnd w:id="2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9" w:name="page30"/>
    <w:bookmarkEnd w:id="2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0" w:name="page31"/>
    <w:bookmarkEnd w:id="3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1" w:name="page32"/>
    <w:bookmarkEnd w:id="3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2" w:name="page33"/>
    <w:bookmarkEnd w:id="3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3" w:name="page34"/>
    <w:bookmarkEnd w:id="3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4" w:name="page35"/>
    <w:bookmarkEnd w:id="3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5" w:name="page36"/>
    <w:bookmarkEnd w:id="3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6" w:name="page37"/>
    <w:bookmarkEnd w:id="3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7" w:name="page38"/>
    <w:bookmarkEnd w:id="3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8" w:name="page39"/>
    <w:bookmarkEnd w:id="3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9" w:name="page40"/>
    <w:bookmarkEnd w:id="3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0" w:name="page41"/>
    <w:bookmarkEnd w:id="4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1" w:name="page42"/>
    <w:bookmarkEnd w:id="4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2" w:name="page43"/>
    <w:bookmarkEnd w:id="4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3" w:name="page44"/>
    <w:bookmarkEnd w:id="4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4" w:name="page45"/>
    <w:bookmarkEnd w:id="4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5" w:name="page46"/>
    <w:bookmarkEnd w:id="4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6" w:name="page47"/>
    <w:bookmarkEnd w:id="4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7" w:name="page48"/>
    <w:bookmarkEnd w:id="4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8" w:name="page49"/>
    <w:bookmarkEnd w:id="48"/>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49" w:name="page50"/>
    <w:bookmarkEnd w:id="49"/>
    <w:p>
      <w:pPr>
        <w:jc w:val="right"/>
        <w:spacing w:after="0"/>
        <w:rPr>
          <w:sz w:val="20"/>
          <w:szCs w:val="20"/>
          <w:color w:val="auto"/>
        </w:rPr>
      </w:pPr>
      <w:r>
        <w:rPr>
          <w:rFonts w:ascii="Arial" w:cs="Arial" w:eastAsia="Arial" w:hAnsi="Arial"/>
          <w:sz w:val="14"/>
          <w:szCs w:val="14"/>
          <w:color w:val="auto"/>
        </w:rPr>
        <w:t>Exhibit 99.2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2989580</wp:posOffset>
            </wp:positionH>
            <wp:positionV relativeFrom="paragraph">
              <wp:posOffset>452120</wp:posOffset>
            </wp:positionV>
            <wp:extent cx="1188720" cy="54864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1188720" cy="5486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Context Therapeutics Announces Positive Interim Efficacy and Safety Results from Ongoing Phase 1 Clinical Trial for CTIM-76</w:t>
      </w:r>
    </w:p>
    <w:p>
      <w:pPr>
        <w:spacing w:after="0" w:line="274" w:lineRule="exact"/>
        <w:rPr>
          <w:sz w:val="20"/>
          <w:szCs w:val="20"/>
          <w:color w:val="auto"/>
        </w:rPr>
      </w:pPr>
    </w:p>
    <w:p>
      <w:pPr>
        <w:jc w:val="center"/>
        <w:spacing w:after="0"/>
        <w:rPr>
          <w:sz w:val="20"/>
          <w:szCs w:val="20"/>
          <w:color w:val="auto"/>
        </w:rPr>
      </w:pPr>
      <w:r>
        <w:rPr>
          <w:rFonts w:ascii="Arial" w:cs="Arial" w:eastAsia="Arial" w:hAnsi="Arial"/>
          <w:sz w:val="13"/>
          <w:szCs w:val="13"/>
          <w:i w:val="1"/>
          <w:iCs w:val="1"/>
          <w:color w:val="auto"/>
        </w:rPr>
        <w:t>29% confirmed overall response rate per RECIST v1.1 in patients with platinum-resistant ovarian cancer (“PROC”) who progressed on a median of 7 prior lines of therapy</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Cytokine Release Syndrome (“CRS”) in PROC limited to Grade 1 in 11% of patients</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3"/>
          <w:szCs w:val="13"/>
          <w:i w:val="1"/>
          <w:iCs w:val="1"/>
          <w:color w:val="auto"/>
        </w:rPr>
        <w:t xml:space="preserve">Pharmacokinetic </w:t>
      </w:r>
      <w:r>
        <w:rPr>
          <w:rFonts w:ascii="Times New Roman" w:cs="Times New Roman" w:eastAsia="Times New Roman" w:hAnsi="Times New Roman"/>
          <w:sz w:val="14"/>
          <w:szCs w:val="14"/>
          <w:color w:val="auto"/>
        </w:rPr>
        <w:t>(</w:t>
      </w:r>
      <w:r>
        <w:rPr>
          <w:rFonts w:ascii="Arial" w:cs="Arial" w:eastAsia="Arial" w:hAnsi="Arial"/>
          <w:sz w:val="13"/>
          <w:szCs w:val="13"/>
          <w:color w:val="auto"/>
        </w:rPr>
        <w:t>“</w:t>
      </w:r>
      <w:r>
        <w:rPr>
          <w:rFonts w:ascii="Arial" w:cs="Arial" w:eastAsia="Arial" w:hAnsi="Arial"/>
          <w:sz w:val="13"/>
          <w:szCs w:val="13"/>
          <w:i w:val="1"/>
          <w:iCs w:val="1"/>
          <w:color w:val="auto"/>
        </w:rPr>
        <w:t>PK”) profile supports exploration of Q3W dosing in 2H 2026</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13"/>
          <w:szCs w:val="13"/>
          <w:i w:val="1"/>
          <w:iCs w:val="1"/>
          <w:color w:val="auto"/>
        </w:rPr>
        <w:t>CTIM-76 has been granted FDA Fast Track Designation in PROC</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13"/>
          <w:szCs w:val="13"/>
          <w:i w:val="1"/>
          <w:iCs w:val="1"/>
          <w:color w:val="auto"/>
        </w:rPr>
        <w:t>Company to host conference call on Monday, June 15 at 8:00 a.m. ET</w:t>
      </w:r>
    </w:p>
    <w:p>
      <w:pPr>
        <w:spacing w:after="0" w:line="166" w:lineRule="exact"/>
        <w:rPr>
          <w:sz w:val="20"/>
          <w:szCs w:val="20"/>
          <w:color w:val="auto"/>
        </w:rPr>
      </w:pPr>
    </w:p>
    <w:p>
      <w:pPr>
        <w:ind w:right="300"/>
        <w:spacing w:after="0" w:line="272" w:lineRule="auto"/>
        <w:rPr>
          <w:sz w:val="20"/>
          <w:szCs w:val="20"/>
          <w:color w:val="auto"/>
        </w:rPr>
      </w:pPr>
      <w:r>
        <w:rPr>
          <w:rFonts w:ascii="Arial" w:cs="Arial" w:eastAsia="Arial" w:hAnsi="Arial"/>
          <w:sz w:val="13"/>
          <w:szCs w:val="13"/>
          <w:b w:val="1"/>
          <w:bCs w:val="1"/>
          <w:color w:val="auto"/>
        </w:rPr>
        <w:t xml:space="preserve">PHILADELPHIA, PA— June 15, 2026 </w:t>
      </w:r>
      <w:r>
        <w:rPr>
          <w:rFonts w:ascii="Arial" w:cs="Arial" w:eastAsia="Arial" w:hAnsi="Arial"/>
          <w:sz w:val="13"/>
          <w:szCs w:val="13"/>
          <w:color w:val="auto"/>
        </w:rPr>
        <w:t>—Context Therapeutics Inc. (“Context” or the “Company”) (Nasdaq: CNTX), a clinical-stage biopharmaceutical company advancing T cell engaging</w:t>
      </w:r>
      <w:r>
        <w:rPr>
          <w:rFonts w:ascii="Arial" w:cs="Arial" w:eastAsia="Arial" w:hAnsi="Arial"/>
          <w:sz w:val="13"/>
          <w:szCs w:val="13"/>
          <w:b w:val="1"/>
          <w:bCs w:val="1"/>
          <w:color w:val="auto"/>
        </w:rPr>
        <w:t xml:space="preserve"> </w:t>
      </w:r>
      <w:r>
        <w:rPr>
          <w:rFonts w:ascii="Arial" w:cs="Arial" w:eastAsia="Arial" w:hAnsi="Arial"/>
          <w:sz w:val="13"/>
          <w:szCs w:val="13"/>
          <w:color w:val="auto"/>
        </w:rPr>
        <w:t>(“TCE”) bispecific antibodies for solid tumors, today announced positive interim Phase 1 clinical data for its CLDN6 x CD3 T cell engaging bispecific antibody, CTIM-76, in advanced, late-line platinum-resistant ovarian cancer (“PROC”). The data are as of a May 29, 2026 data cutoff from the ongoing CTIM-76 Phase 1 study.</w:t>
      </w:r>
    </w:p>
    <w:p>
      <w:pPr>
        <w:spacing w:after="0" w:line="131" w:lineRule="exact"/>
        <w:rPr>
          <w:sz w:val="20"/>
          <w:szCs w:val="20"/>
          <w:color w:val="auto"/>
        </w:rPr>
      </w:pPr>
    </w:p>
    <w:p>
      <w:pPr>
        <w:ind w:right="280"/>
        <w:spacing w:after="0" w:line="262" w:lineRule="auto"/>
        <w:rPr>
          <w:sz w:val="20"/>
          <w:szCs w:val="20"/>
          <w:color w:val="auto"/>
        </w:rPr>
      </w:pPr>
      <w:r>
        <w:rPr>
          <w:rFonts w:ascii="Arial" w:cs="Arial" w:eastAsia="Arial" w:hAnsi="Arial"/>
          <w:sz w:val="13"/>
          <w:szCs w:val="13"/>
          <w:color w:val="auto"/>
        </w:rPr>
        <w:t>“We are encouraged by the continued development of CTIM-76 as a potentially best-in-class CLDN6 T cell engager that may offer a much-needed new therapeutic approach for patients with platinum-resistant ovarian cancer,” said Martin Lehr, Chief Executive Officer of Context. “In our first clinical presentation of dose-escalation data, weekly administration of CTIM-76 produced compelling anti-tumor activity and a well-tolerated safety profile in heavily pretreated patients, many of whom had extensive prior exposure to antibody-drug conjugates. Building on this encouraging data, we have advanced into the next phase of development, where we will evaluate CTIM-76 administered every three weeks (“Q3W”). These results are expected to inform subsequent Phase 1b dose expansion in 2027.”</w:t>
      </w:r>
    </w:p>
    <w:p>
      <w:pPr>
        <w:spacing w:after="0" w:line="138"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CTIM-76 Phase 1a Interim Data Summary:</w:t>
      </w:r>
    </w:p>
    <w:p>
      <w:pPr>
        <w:spacing w:after="0" w:line="25" w:lineRule="exact"/>
        <w:rPr>
          <w:sz w:val="20"/>
          <w:szCs w:val="20"/>
          <w:color w:val="auto"/>
        </w:rPr>
      </w:pPr>
    </w:p>
    <w:p>
      <w:pPr>
        <w:ind w:left="420" w:hanging="212"/>
        <w:spacing w:after="0"/>
        <w:tabs>
          <w:tab w:leader="none" w:pos="420" w:val="left"/>
        </w:tabs>
        <w:numPr>
          <w:ilvl w:val="0"/>
          <w:numId w:val="2"/>
        </w:numPr>
        <w:rPr>
          <w:rFonts w:ascii="Times New Roman" w:cs="Times New Roman" w:eastAsia="Times New Roman" w:hAnsi="Times New Roman"/>
          <w:sz w:val="13"/>
          <w:szCs w:val="13"/>
          <w:color w:val="auto"/>
        </w:rPr>
      </w:pPr>
      <w:r>
        <w:rPr>
          <w:rFonts w:ascii="Arial" w:cs="Arial" w:eastAsia="Arial" w:hAnsi="Arial"/>
          <w:sz w:val="13"/>
          <w:szCs w:val="13"/>
          <w:color w:val="auto"/>
        </w:rPr>
        <w:t>21 patients with PROC (n=14), testicular (n=4), and endometrial (n=3) cancer were treated with CTIM-76 at doses ranging from 22.5µg to 560µg every week (“QW”).</w:t>
      </w:r>
    </w:p>
    <w:p>
      <w:pPr>
        <w:spacing w:after="0" w:line="2" w:lineRule="exact"/>
        <w:rPr>
          <w:rFonts w:ascii="Times New Roman" w:cs="Times New Roman" w:eastAsia="Times New Roman" w:hAnsi="Times New Roman"/>
          <w:sz w:val="13"/>
          <w:szCs w:val="13"/>
          <w:color w:val="auto"/>
        </w:rPr>
      </w:pPr>
    </w:p>
    <w:p>
      <w:pPr>
        <w:ind w:left="420" w:right="380" w:hanging="212"/>
        <w:spacing w:after="0" w:line="252" w:lineRule="auto"/>
        <w:tabs>
          <w:tab w:leader="none" w:pos="412" w:val="left"/>
        </w:tabs>
        <w:numPr>
          <w:ilvl w:val="0"/>
          <w:numId w:val="2"/>
        </w:numPr>
        <w:rPr>
          <w:rFonts w:ascii="Times New Roman" w:cs="Times New Roman" w:eastAsia="Times New Roman" w:hAnsi="Times New Roman"/>
          <w:sz w:val="13"/>
          <w:szCs w:val="13"/>
          <w:color w:val="auto"/>
        </w:rPr>
      </w:pPr>
      <w:r>
        <w:rPr>
          <w:rFonts w:ascii="Arial" w:cs="Arial" w:eastAsia="Arial" w:hAnsi="Arial"/>
          <w:sz w:val="13"/>
          <w:szCs w:val="13"/>
          <w:color w:val="auto"/>
        </w:rPr>
        <w:t>At the active doses of 140µg to 280µg, 13 patients were treated in total, 10 of whom were efficacy evaluable, having had at least one post-baseline tumor assessment as of the data cutoff.</w:t>
      </w:r>
    </w:p>
    <w:p>
      <w:pPr>
        <w:ind w:left="420" w:hanging="212"/>
        <w:spacing w:after="0"/>
        <w:tabs>
          <w:tab w:leader="none" w:pos="420" w:val="left"/>
        </w:tabs>
        <w:numPr>
          <w:ilvl w:val="0"/>
          <w:numId w:val="2"/>
        </w:numPr>
        <w:rPr>
          <w:rFonts w:ascii="Times New Roman" w:cs="Times New Roman" w:eastAsia="Times New Roman" w:hAnsi="Times New Roman"/>
          <w:sz w:val="13"/>
          <w:szCs w:val="13"/>
          <w:color w:val="auto"/>
        </w:rPr>
      </w:pPr>
      <w:r>
        <w:rPr>
          <w:rFonts w:ascii="Arial" w:cs="Arial" w:eastAsia="Arial" w:hAnsi="Arial"/>
          <w:sz w:val="13"/>
          <w:szCs w:val="13"/>
          <w:color w:val="auto"/>
        </w:rPr>
        <w:t>560µg exceeded target exposures with QW dosing and was not pursued further.</w:t>
      </w:r>
    </w:p>
    <w:p>
      <w:pPr>
        <w:spacing w:after="0" w:line="162"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PROC Patient Characteristics:</w:t>
      </w:r>
    </w:p>
    <w:p>
      <w:pPr>
        <w:sectPr>
          <w:pgSz w:w="11900" w:h="16838" w:orient="portrait"/>
          <w:cols w:equalWidth="0" w:num="1">
            <w:col w:w="11300"/>
          </w:cols>
          <w:pgMar w:left="300" w:top="130" w:right="299" w:bottom="1440" w:gutter="0" w:footer="0" w:header="0"/>
        </w:sectPr>
      </w:pPr>
    </w:p>
    <w:bookmarkStart w:id="50" w:name="page51"/>
    <w:bookmarkEnd w:id="50"/>
    <w:p>
      <w:pPr>
        <w:ind w:left="420" w:hanging="212"/>
        <w:spacing w:after="0"/>
        <w:tabs>
          <w:tab w:leader="none" w:pos="420" w:val="left"/>
        </w:tabs>
        <w:numPr>
          <w:ilvl w:val="0"/>
          <w:numId w:val="3"/>
        </w:numPr>
        <w:rPr>
          <w:rFonts w:ascii="Times New Roman" w:cs="Times New Roman" w:eastAsia="Times New Roman" w:hAnsi="Times New Roman"/>
          <w:sz w:val="13"/>
          <w:szCs w:val="13"/>
          <w:color w:val="auto"/>
        </w:rPr>
      </w:pPr>
      <w:r>
        <w:rPr>
          <w:rFonts w:ascii="Arial" w:cs="Arial" w:eastAsia="Arial" w:hAnsi="Arial"/>
          <w:sz w:val="13"/>
          <w:szCs w:val="13"/>
          <w:color w:val="auto"/>
        </w:rPr>
        <w:t>Patients (n=9) received a median of 7 prior lines of therapy (range 5-16).</w:t>
      </w:r>
    </w:p>
    <w:p>
      <w:pPr>
        <w:spacing w:after="0" w:line="23" w:lineRule="exact"/>
        <w:rPr>
          <w:rFonts w:ascii="Times New Roman" w:cs="Times New Roman" w:eastAsia="Times New Roman" w:hAnsi="Times New Roman"/>
          <w:sz w:val="13"/>
          <w:szCs w:val="13"/>
          <w:color w:val="auto"/>
        </w:rPr>
      </w:pPr>
    </w:p>
    <w:p>
      <w:pPr>
        <w:ind w:left="420" w:hanging="212"/>
        <w:spacing w:after="0"/>
        <w:tabs>
          <w:tab w:leader="none" w:pos="420" w:val="left"/>
        </w:tabs>
        <w:numPr>
          <w:ilvl w:val="0"/>
          <w:numId w:val="3"/>
        </w:numPr>
        <w:rPr>
          <w:rFonts w:ascii="Times New Roman" w:cs="Times New Roman" w:eastAsia="Times New Roman" w:hAnsi="Times New Roman"/>
          <w:sz w:val="13"/>
          <w:szCs w:val="13"/>
          <w:color w:val="auto"/>
        </w:rPr>
      </w:pPr>
      <w:r>
        <w:rPr>
          <w:rFonts w:ascii="Arial" w:cs="Arial" w:eastAsia="Arial" w:hAnsi="Arial"/>
          <w:sz w:val="13"/>
          <w:szCs w:val="13"/>
          <w:color w:val="auto"/>
        </w:rPr>
        <w:t>Prior patient treatments included ADC (89%), checkpoint inhibitor (55%), VEGF (100%), or DNA repair agent (78%).</w:t>
      </w:r>
    </w:p>
    <w:p>
      <w:pPr>
        <w:spacing w:after="0" w:line="3" w:lineRule="exact"/>
        <w:rPr>
          <w:rFonts w:ascii="Times New Roman" w:cs="Times New Roman" w:eastAsia="Times New Roman" w:hAnsi="Times New Roman"/>
          <w:sz w:val="13"/>
          <w:szCs w:val="13"/>
          <w:color w:val="auto"/>
        </w:rPr>
      </w:pPr>
    </w:p>
    <w:p>
      <w:pPr>
        <w:ind w:left="420" w:hanging="212"/>
        <w:spacing w:after="0"/>
        <w:tabs>
          <w:tab w:leader="none" w:pos="420" w:val="left"/>
        </w:tabs>
        <w:numPr>
          <w:ilvl w:val="0"/>
          <w:numId w:val="3"/>
        </w:numPr>
        <w:rPr>
          <w:rFonts w:ascii="Times New Roman" w:cs="Times New Roman" w:eastAsia="Times New Roman" w:hAnsi="Times New Roman"/>
          <w:sz w:val="13"/>
          <w:szCs w:val="13"/>
          <w:color w:val="auto"/>
        </w:rPr>
      </w:pPr>
      <w:r>
        <w:rPr>
          <w:rFonts w:ascii="Arial" w:cs="Arial" w:eastAsia="Arial" w:hAnsi="Arial"/>
          <w:sz w:val="13"/>
          <w:szCs w:val="13"/>
          <w:color w:val="auto"/>
        </w:rPr>
        <w:t>44% of patients had liver metastases.</w:t>
      </w:r>
    </w:p>
    <w:p>
      <w:pPr>
        <w:spacing w:after="0" w:line="162"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Efficacy Results:</w:t>
      </w:r>
    </w:p>
    <w:p>
      <w:pPr>
        <w:spacing w:after="0" w:line="16" w:lineRule="exact"/>
        <w:rPr>
          <w:sz w:val="20"/>
          <w:szCs w:val="20"/>
          <w:color w:val="auto"/>
        </w:rPr>
      </w:pPr>
    </w:p>
    <w:p>
      <w:pPr>
        <w:ind w:left="420" w:hanging="212"/>
        <w:spacing w:after="0"/>
        <w:tabs>
          <w:tab w:leader="none" w:pos="420" w:val="left"/>
        </w:tabs>
        <w:numPr>
          <w:ilvl w:val="0"/>
          <w:numId w:val="4"/>
        </w:numPr>
        <w:rPr>
          <w:rFonts w:ascii="Times New Roman" w:cs="Times New Roman" w:eastAsia="Times New Roman" w:hAnsi="Times New Roman"/>
          <w:sz w:val="13"/>
          <w:szCs w:val="13"/>
          <w:color w:val="auto"/>
        </w:rPr>
      </w:pPr>
      <w:r>
        <w:rPr>
          <w:rFonts w:ascii="Arial" w:cs="Arial" w:eastAsia="Arial" w:hAnsi="Arial"/>
          <w:sz w:val="13"/>
          <w:szCs w:val="13"/>
          <w:color w:val="auto"/>
        </w:rPr>
        <w:t>As of the data cutoff, 7 PROC patients were efficacy-evaluable at doses of 140µg to 280µg.</w:t>
      </w:r>
    </w:p>
    <w:p>
      <w:pPr>
        <w:spacing w:after="0" w:line="11" w:lineRule="exact"/>
        <w:rPr>
          <w:rFonts w:ascii="Times New Roman" w:cs="Times New Roman" w:eastAsia="Times New Roman" w:hAnsi="Times New Roman"/>
          <w:sz w:val="13"/>
          <w:szCs w:val="13"/>
          <w:color w:val="auto"/>
        </w:rPr>
      </w:pPr>
    </w:p>
    <w:p>
      <w:pPr>
        <w:ind w:left="420" w:hanging="212"/>
        <w:spacing w:after="0"/>
        <w:tabs>
          <w:tab w:leader="none" w:pos="420" w:val="left"/>
        </w:tabs>
        <w:numPr>
          <w:ilvl w:val="0"/>
          <w:numId w:val="4"/>
        </w:numPr>
        <w:rPr>
          <w:rFonts w:ascii="Times New Roman" w:cs="Times New Roman" w:eastAsia="Times New Roman" w:hAnsi="Times New Roman"/>
          <w:sz w:val="13"/>
          <w:szCs w:val="13"/>
          <w:color w:val="auto"/>
        </w:rPr>
      </w:pPr>
      <w:r>
        <w:rPr>
          <w:rFonts w:ascii="Arial" w:cs="Arial" w:eastAsia="Arial" w:hAnsi="Arial"/>
          <w:sz w:val="13"/>
          <w:szCs w:val="13"/>
          <w:color w:val="auto"/>
        </w:rPr>
        <w:t>Overall response rate (ORR): 29% of PROC patients (2/7) achieved confirmed partial RECIST v. 1.1 responses.</w:t>
      </w:r>
    </w:p>
    <w:p>
      <w:pPr>
        <w:spacing w:after="0" w:line="11" w:lineRule="exact"/>
        <w:rPr>
          <w:rFonts w:ascii="Times New Roman" w:cs="Times New Roman" w:eastAsia="Times New Roman" w:hAnsi="Times New Roman"/>
          <w:sz w:val="13"/>
          <w:szCs w:val="13"/>
          <w:color w:val="auto"/>
        </w:rPr>
      </w:pPr>
    </w:p>
    <w:p>
      <w:pPr>
        <w:ind w:left="420" w:hanging="212"/>
        <w:spacing w:after="0" w:line="188" w:lineRule="auto"/>
        <w:tabs>
          <w:tab w:leader="none" w:pos="420" w:val="left"/>
        </w:tabs>
        <w:numPr>
          <w:ilvl w:val="0"/>
          <w:numId w:val="4"/>
        </w:numPr>
        <w:rPr>
          <w:rFonts w:ascii="Times New Roman" w:cs="Times New Roman" w:eastAsia="Times New Roman" w:hAnsi="Times New Roman"/>
          <w:sz w:val="13"/>
          <w:szCs w:val="13"/>
          <w:color w:val="auto"/>
        </w:rPr>
      </w:pPr>
      <w:r>
        <w:rPr>
          <w:rFonts w:ascii="Arial" w:cs="Arial" w:eastAsia="Arial" w:hAnsi="Arial"/>
          <w:sz w:val="13"/>
          <w:szCs w:val="13"/>
          <w:color w:val="auto"/>
        </w:rPr>
        <w:t>Disease control rate (DCR)</w:t>
      </w:r>
      <w:r>
        <w:rPr>
          <w:rFonts w:ascii="Arial" w:cs="Arial" w:eastAsia="Arial" w:hAnsi="Arial"/>
          <w:sz w:val="17"/>
          <w:szCs w:val="17"/>
          <w:color w:val="auto"/>
          <w:vertAlign w:val="superscript"/>
        </w:rPr>
        <w:t>1</w:t>
      </w:r>
      <w:r>
        <w:rPr>
          <w:rFonts w:ascii="Arial" w:cs="Arial" w:eastAsia="Arial" w:hAnsi="Arial"/>
          <w:sz w:val="13"/>
          <w:szCs w:val="13"/>
          <w:color w:val="auto"/>
        </w:rPr>
        <w:t>: 57% (4/7)</w:t>
      </w:r>
    </w:p>
    <w:p>
      <w:pPr>
        <w:ind w:left="420" w:hanging="212"/>
        <w:spacing w:after="0"/>
        <w:tabs>
          <w:tab w:leader="none" w:pos="420" w:val="left"/>
        </w:tabs>
        <w:numPr>
          <w:ilvl w:val="0"/>
          <w:numId w:val="4"/>
        </w:numPr>
        <w:rPr>
          <w:rFonts w:ascii="Times New Roman" w:cs="Times New Roman" w:eastAsia="Times New Roman" w:hAnsi="Times New Roman"/>
          <w:sz w:val="13"/>
          <w:szCs w:val="13"/>
          <w:color w:val="auto"/>
        </w:rPr>
      </w:pPr>
      <w:r>
        <w:rPr>
          <w:rFonts w:ascii="Arial" w:cs="Arial" w:eastAsia="Arial" w:hAnsi="Arial"/>
          <w:sz w:val="13"/>
          <w:szCs w:val="13"/>
          <w:color w:val="auto"/>
        </w:rPr>
        <w:t>In early cohort patients who achieved confirmed stable disease or partial response, treatment durability was sustained for at least 6 months (n=3).</w:t>
      </w:r>
    </w:p>
    <w:p>
      <w:pPr>
        <w:spacing w:after="0" w:line="162"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Safety Results:</w:t>
      </w:r>
    </w:p>
    <w:p>
      <w:pPr>
        <w:spacing w:after="0" w:line="23" w:lineRule="exact"/>
        <w:rPr>
          <w:sz w:val="20"/>
          <w:szCs w:val="20"/>
          <w:color w:val="auto"/>
        </w:rPr>
      </w:pPr>
    </w:p>
    <w:p>
      <w:pPr>
        <w:ind w:left="420" w:right="640" w:hanging="212"/>
        <w:spacing w:after="0" w:line="258" w:lineRule="auto"/>
        <w:tabs>
          <w:tab w:leader="none" w:pos="412" w:val="left"/>
        </w:tabs>
        <w:numPr>
          <w:ilvl w:val="0"/>
          <w:numId w:val="5"/>
        </w:numPr>
        <w:rPr>
          <w:rFonts w:ascii="Times New Roman" w:cs="Times New Roman" w:eastAsia="Times New Roman" w:hAnsi="Times New Roman"/>
          <w:sz w:val="13"/>
          <w:szCs w:val="13"/>
          <w:color w:val="auto"/>
        </w:rPr>
      </w:pPr>
      <w:r>
        <w:rPr>
          <w:rFonts w:ascii="Arial" w:cs="Arial" w:eastAsia="Arial" w:hAnsi="Arial"/>
          <w:sz w:val="13"/>
          <w:szCs w:val="13"/>
          <w:color w:val="auto"/>
        </w:rPr>
        <w:t>At active dose levels, CTIM</w:t>
      </w:r>
      <w:r>
        <w:rPr>
          <w:rFonts w:ascii="Arial" w:cs="Arial" w:eastAsia="Arial" w:hAnsi="Arial"/>
          <w:sz w:val="14"/>
          <w:szCs w:val="14"/>
          <w:color w:val="auto"/>
        </w:rPr>
        <w:t>-</w:t>
      </w:r>
      <w:r>
        <w:rPr>
          <w:rFonts w:ascii="Arial" w:cs="Arial" w:eastAsia="Arial" w:hAnsi="Arial"/>
          <w:sz w:val="13"/>
          <w:szCs w:val="13"/>
          <w:color w:val="auto"/>
        </w:rPr>
        <w:t>76 produced a favorable safety profile that is consistent with the expected mechanism of action for a T cell engager and supports continued clinical development.</w:t>
      </w:r>
    </w:p>
    <w:p>
      <w:pPr>
        <w:ind w:left="420" w:right="320" w:hanging="212"/>
        <w:spacing w:after="0" w:line="252" w:lineRule="auto"/>
        <w:tabs>
          <w:tab w:leader="none" w:pos="412" w:val="left"/>
        </w:tabs>
        <w:numPr>
          <w:ilvl w:val="0"/>
          <w:numId w:val="5"/>
        </w:numPr>
        <w:rPr>
          <w:rFonts w:ascii="Times New Roman" w:cs="Times New Roman" w:eastAsia="Times New Roman" w:hAnsi="Times New Roman"/>
          <w:sz w:val="13"/>
          <w:szCs w:val="13"/>
          <w:color w:val="auto"/>
        </w:rPr>
      </w:pPr>
      <w:r>
        <w:rPr>
          <w:rFonts w:ascii="Arial" w:cs="Arial" w:eastAsia="Arial" w:hAnsi="Arial"/>
          <w:sz w:val="13"/>
          <w:szCs w:val="13"/>
          <w:color w:val="auto"/>
        </w:rPr>
        <w:t>Adverse events generally occurred during the first or second dose and were predominantly low grade, with the majority of events reported as Grade 1 or Grade 2 and reversible with standard management.</w:t>
      </w:r>
    </w:p>
    <w:p>
      <w:pPr>
        <w:ind w:left="420" w:hanging="212"/>
        <w:spacing w:after="0"/>
        <w:tabs>
          <w:tab w:leader="none" w:pos="420" w:val="left"/>
        </w:tabs>
        <w:numPr>
          <w:ilvl w:val="0"/>
          <w:numId w:val="5"/>
        </w:numPr>
        <w:rPr>
          <w:rFonts w:ascii="Times New Roman" w:cs="Times New Roman" w:eastAsia="Times New Roman" w:hAnsi="Times New Roman"/>
          <w:sz w:val="13"/>
          <w:szCs w:val="13"/>
          <w:color w:val="auto"/>
        </w:rPr>
      </w:pPr>
      <w:r>
        <w:rPr>
          <w:rFonts w:ascii="Arial" w:cs="Arial" w:eastAsia="Arial" w:hAnsi="Arial"/>
          <w:sz w:val="13"/>
          <w:szCs w:val="13"/>
          <w:color w:val="auto"/>
        </w:rPr>
        <w:t>CRS events were infrequent and limited to Grade 1 (11%, n=1/9) at active dose levels in PROC patients, which may be supportive of outpatient dosing in future trials.</w:t>
      </w:r>
    </w:p>
    <w:p>
      <w:pPr>
        <w:spacing w:after="0" w:line="154"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Pharmacokinetic Results:</w:t>
      </w:r>
    </w:p>
    <w:p>
      <w:pPr>
        <w:spacing w:after="0" w:line="30" w:lineRule="exact"/>
        <w:rPr>
          <w:sz w:val="20"/>
          <w:szCs w:val="20"/>
          <w:color w:val="auto"/>
        </w:rPr>
      </w:pPr>
    </w:p>
    <w:p>
      <w:pPr>
        <w:ind w:left="420" w:hanging="212"/>
        <w:spacing w:after="0"/>
        <w:tabs>
          <w:tab w:leader="none" w:pos="420" w:val="left"/>
        </w:tabs>
        <w:numPr>
          <w:ilvl w:val="0"/>
          <w:numId w:val="6"/>
        </w:numPr>
        <w:rPr>
          <w:rFonts w:ascii="Times New Roman" w:cs="Times New Roman" w:eastAsia="Times New Roman" w:hAnsi="Times New Roman"/>
          <w:sz w:val="13"/>
          <w:szCs w:val="13"/>
          <w:color w:val="auto"/>
        </w:rPr>
      </w:pPr>
      <w:r>
        <w:rPr>
          <w:rFonts w:ascii="Arial" w:cs="Arial" w:eastAsia="Arial" w:hAnsi="Arial"/>
          <w:sz w:val="13"/>
          <w:szCs w:val="13"/>
          <w:color w:val="auto"/>
        </w:rPr>
        <w:t>Approximately dose-dependent increases in CTIM-76 exposure with increasing dose level.</w:t>
      </w:r>
    </w:p>
    <w:p>
      <w:pPr>
        <w:spacing w:after="0" w:line="14" w:lineRule="exact"/>
        <w:rPr>
          <w:rFonts w:ascii="Times New Roman" w:cs="Times New Roman" w:eastAsia="Times New Roman" w:hAnsi="Times New Roman"/>
          <w:sz w:val="13"/>
          <w:szCs w:val="13"/>
          <w:color w:val="auto"/>
        </w:rPr>
      </w:pPr>
    </w:p>
    <w:p>
      <w:pPr>
        <w:ind w:left="420" w:hanging="212"/>
        <w:spacing w:after="0"/>
        <w:tabs>
          <w:tab w:leader="none" w:pos="420" w:val="left"/>
        </w:tabs>
        <w:numPr>
          <w:ilvl w:val="0"/>
          <w:numId w:val="6"/>
        </w:numPr>
        <w:rPr>
          <w:rFonts w:ascii="Times New Roman" w:cs="Times New Roman" w:eastAsia="Times New Roman" w:hAnsi="Times New Roman"/>
          <w:sz w:val="13"/>
          <w:szCs w:val="13"/>
          <w:color w:val="auto"/>
        </w:rPr>
      </w:pPr>
      <w:r>
        <w:rPr>
          <w:rFonts w:ascii="Arial" w:cs="Arial" w:eastAsia="Arial" w:hAnsi="Arial"/>
          <w:sz w:val="13"/>
          <w:szCs w:val="13"/>
          <w:color w:val="auto"/>
        </w:rPr>
        <w:t>Preliminary PK supports exploration of Q3W dosing schedule.</w:t>
      </w:r>
    </w:p>
    <w:p>
      <w:pPr>
        <w:spacing w:after="0" w:line="325"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Investor Webcast and Conference Call Information</w:t>
      </w:r>
    </w:p>
    <w:p>
      <w:pPr>
        <w:spacing w:after="0" w:line="25" w:lineRule="exact"/>
        <w:rPr>
          <w:sz w:val="20"/>
          <w:szCs w:val="20"/>
          <w:color w:val="auto"/>
        </w:rPr>
      </w:pPr>
    </w:p>
    <w:p>
      <w:pPr>
        <w:jc w:val="both"/>
        <w:ind w:right="100"/>
        <w:spacing w:after="0" w:line="262" w:lineRule="auto"/>
        <w:rPr>
          <w:sz w:val="20"/>
          <w:szCs w:val="20"/>
          <w:color w:val="auto"/>
        </w:rPr>
      </w:pPr>
      <w:r>
        <w:rPr>
          <w:rFonts w:ascii="Arial" w:cs="Arial" w:eastAsia="Arial" w:hAnsi="Arial"/>
          <w:sz w:val="13"/>
          <w:szCs w:val="13"/>
          <w:color w:val="auto"/>
        </w:rPr>
        <w:t>The Company will host a conference call to discuss these data at 8:00 a.m. ET today, June 15, 2026. Participants may access the live webcast of the conference call from the “News &amp; Events” page of the Company’s website at www.contexttherapeutics.com. Participants may register for the conference call here and are advised to do so at least 10 minutes prior to joining the call. The webcast will be available for replay for at least 90 days on the Company’s website.</w:t>
      </w:r>
    </w:p>
    <w:p>
      <w:pPr>
        <w:spacing w:after="0" w:line="137"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About CTIM-76</w:t>
      </w:r>
    </w:p>
    <w:p>
      <w:pPr>
        <w:spacing w:after="0" w:line="25" w:lineRule="exact"/>
        <w:rPr>
          <w:sz w:val="20"/>
          <w:szCs w:val="20"/>
          <w:color w:val="auto"/>
        </w:rPr>
      </w:pPr>
    </w:p>
    <w:p>
      <w:pPr>
        <w:spacing w:after="0" w:line="298" w:lineRule="auto"/>
        <w:rPr>
          <w:sz w:val="20"/>
          <w:szCs w:val="20"/>
          <w:color w:val="auto"/>
        </w:rPr>
      </w:pPr>
      <w:r>
        <w:rPr>
          <w:rFonts w:ascii="Arial" w:cs="Arial" w:eastAsia="Arial" w:hAnsi="Arial"/>
          <w:sz w:val="13"/>
          <w:szCs w:val="13"/>
          <w:color w:val="auto"/>
        </w:rPr>
        <w:t>CTIM-76 is a CLDN6 x CD3 T cell engaging bispecific antibody. CLDN6 is enriched in a wide range of solid tumors, including ovarian, endometrial, lung, gastric, and testicular. Preclinical research suggests the potential for convenient dosing with low immunogenicity risk and scalable manufacturing to address the significant number of patients who are potentially eligible for CTIM-76 therapy. More information about the CTIM-76 clinical trial (NCT06515613) can be found on https://clinicaltrials.gov/.</w:t>
      </w:r>
    </w:p>
    <w:p>
      <w:pPr>
        <w:spacing w:after="0" w:line="40"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About Context Therapeutics</w:t>
      </w:r>
      <w:r>
        <w:rPr>
          <w:rFonts w:ascii="Arial" w:cs="Arial" w:eastAsia="Arial" w:hAnsi="Arial"/>
          <w:sz w:val="17"/>
          <w:szCs w:val="17"/>
          <w:b w:val="1"/>
          <w:bCs w:val="1"/>
          <w:color w:val="auto"/>
          <w:vertAlign w:val="superscript"/>
        </w:rPr>
        <w:t>®</w:t>
      </w:r>
    </w:p>
    <w:p>
      <w:pPr>
        <w:spacing w:after="0"/>
        <w:rPr>
          <w:sz w:val="20"/>
          <w:szCs w:val="20"/>
          <w:color w:val="auto"/>
        </w:rPr>
      </w:pPr>
      <w:r>
        <w:rPr>
          <w:rFonts w:ascii="Arial" w:cs="Arial" w:eastAsia="Arial" w:hAnsi="Arial"/>
          <w:sz w:val="13"/>
          <w:szCs w:val="13"/>
          <w:color w:val="auto"/>
        </w:rPr>
        <w:t>Context Therapeutics Inc. (Nasdaq: CNTX) is a clinical-stage biopharmaceutical company advancing T cell engaging (“TCE”) bispecific antibodies for solid tumors. Context’s goal is to</w:t>
      </w:r>
    </w:p>
    <w:p>
      <w:pPr>
        <w:sectPr>
          <w:pgSz w:w="11900" w:h="16838" w:orient="portrait"/>
          <w:cols w:equalWidth="0" w:num="1">
            <w:col w:w="11260"/>
          </w:cols>
          <w:pgMar w:left="300" w:top="989" w:right="339" w:bottom="1440" w:gutter="0" w:footer="0" w:header="0"/>
        </w:sectPr>
      </w:pPr>
    </w:p>
    <w:bookmarkStart w:id="51" w:name="page52"/>
    <w:bookmarkEnd w:id="51"/>
    <w:p>
      <w:pPr>
        <w:ind w:right="580"/>
        <w:spacing w:after="0" w:line="327" w:lineRule="auto"/>
        <w:rPr>
          <w:sz w:val="20"/>
          <w:szCs w:val="20"/>
          <w:color w:val="auto"/>
        </w:rPr>
      </w:pPr>
      <w:r>
        <w:rPr>
          <w:rFonts w:ascii="Arial" w:cs="Arial" w:eastAsia="Arial" w:hAnsi="Arial"/>
          <w:sz w:val="13"/>
          <w:szCs w:val="13"/>
          <w:color w:val="auto"/>
        </w:rPr>
        <w:t>build an innovative portfolio of TCE bispecific therapeutics, including CTIM-76, a Claudin 6 x CD3 TCE, CT-95, a Mesothelin x CD3 TCE, and CT-202, a Nectin-4 x CD3 TCE. Context is headquartered in Philadelphia. For more information, please visit www.contexttherapeutics.com or follow the Company on X (formerly Twitter) and LinkedIn.</w:t>
      </w:r>
    </w:p>
    <w:p>
      <w:pPr>
        <w:spacing w:after="0" w:line="34"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Forward-looking Statements</w:t>
      </w:r>
    </w:p>
    <w:p>
      <w:pPr>
        <w:spacing w:after="0" w:line="25" w:lineRule="exact"/>
        <w:rPr>
          <w:sz w:val="20"/>
          <w:szCs w:val="20"/>
          <w:color w:val="auto"/>
        </w:rPr>
      </w:pPr>
    </w:p>
    <w:p>
      <w:pPr>
        <w:jc w:val="both"/>
        <w:ind w:right="440"/>
        <w:spacing w:after="0" w:line="262" w:lineRule="auto"/>
        <w:rPr>
          <w:sz w:val="20"/>
          <w:szCs w:val="20"/>
          <w:color w:val="auto"/>
        </w:rPr>
      </w:pPr>
      <w:r>
        <w:rPr>
          <w:rFonts w:ascii="Arial" w:cs="Arial" w:eastAsia="Arial" w:hAnsi="Arial"/>
          <w:sz w:val="13"/>
          <w:szCs w:val="13"/>
          <w:color w:val="auto"/>
        </w:rPr>
        <w:t>This press release contains “forward-looking statements” within the meaning of the Private Securities Litigation Reform Act of 1995. All statements other than statements of historical fact, including statements regarding the Company’s strategy, future operations, prospects, and plans and objectives of management, are forward-looking statements. These statements may be identified by words such as “may,” “will,” “expect,” “believe,” “could,” “estimate,” “potential,” “anticipate,” “look forward,” “plan,” “intend,” and similar expressions.</w:t>
      </w:r>
    </w:p>
    <w:p>
      <w:pPr>
        <w:spacing w:after="0" w:line="146" w:lineRule="exact"/>
        <w:rPr>
          <w:sz w:val="20"/>
          <w:szCs w:val="20"/>
          <w:color w:val="auto"/>
        </w:rPr>
      </w:pPr>
    </w:p>
    <w:p>
      <w:pPr>
        <w:jc w:val="both"/>
        <w:ind w:right="20"/>
        <w:spacing w:after="0" w:line="272" w:lineRule="auto"/>
        <w:rPr>
          <w:sz w:val="20"/>
          <w:szCs w:val="20"/>
          <w:color w:val="auto"/>
        </w:rPr>
      </w:pPr>
      <w:r>
        <w:rPr>
          <w:rFonts w:ascii="Arial" w:cs="Arial" w:eastAsia="Arial" w:hAnsi="Arial"/>
          <w:sz w:val="13"/>
          <w:szCs w:val="13"/>
          <w:color w:val="auto"/>
        </w:rPr>
        <w:t>Forward-looking statements in this press release include, without limitation, statements regarding (i) expectations of CTIM-76 Q3W dosing in the second half of 2026 and that CTIM-76 Q3W data will be available to inform subsequent dose expansion, (ii) expectations of CTIM-76 Phase 1b clinical trial development to occur in 2027; (iii) expectations that CTIM-76 may potentially be a best-in-class CLDN6 T cell engager; (iv) expectations that CTIM-76 could be a new therapeutic approach for patients with platinum-resistant ovarian cancer; and (v) other non-historical statements.</w:t>
      </w:r>
    </w:p>
    <w:p>
      <w:pPr>
        <w:spacing w:after="0" w:line="140" w:lineRule="exact"/>
        <w:rPr>
          <w:sz w:val="20"/>
          <w:szCs w:val="20"/>
          <w:color w:val="auto"/>
        </w:rPr>
      </w:pPr>
    </w:p>
    <w:p>
      <w:pPr>
        <w:spacing w:after="0" w:line="259" w:lineRule="auto"/>
        <w:rPr>
          <w:sz w:val="20"/>
          <w:szCs w:val="20"/>
          <w:color w:val="auto"/>
        </w:rPr>
      </w:pPr>
      <w:r>
        <w:rPr>
          <w:rFonts w:ascii="Arial" w:cs="Arial" w:eastAsia="Arial" w:hAnsi="Arial"/>
          <w:sz w:val="13"/>
          <w:szCs w:val="13"/>
          <w:color w:val="auto"/>
        </w:rPr>
        <w:t>These forward-looking statements involve substantial risks and uncertainties that could cause actual results to differ materially from those expressed or implied, and the Company cannot assure that its plans, intentions, expectations, or strategies will be achieved. These risks and uncertainties include, without limitation: (i) uncertainties regarding the Company’s expectations, projections, and estimates of future costs and expenses, capital requirements, the availability of additional financing and the Company’s capital requirements; (ii) the timing, progress, and results of the Company’s discovery, preclinical and clinical development activities; (iii) clinical trial site activation and enrollment; (iv) unexpected safety or efficacy data observed during preclinical studies or clinical trials; (v) the risk that results from nonclinical or clinical studies may not be predictive of future results, and that interim data are subject to further analysis; (vi) uncertainties related to the regulatory approval process; (vii) the Company’s reliance on third parties; (viii) macroeconomic conditions; and (ix) whether the Company has sufficient funding to meet future operating expenses and capital expenditure requirements. Additional factors that may cause actual results to differ materially from those expressed or implied in the forward-looking statements in this press release are described under the heading “Risk Factors” in the Company’s Annual Report on Form 10-K for the year ended December 31, 2025, as filed with the U.S. Securities and Exchange Commission (the “SEC”), and in the Company’s other filings with the SEC, including future reports.</w:t>
      </w:r>
    </w:p>
    <w:p>
      <w:pPr>
        <w:spacing w:after="0" w:line="141" w:lineRule="exact"/>
        <w:rPr>
          <w:sz w:val="20"/>
          <w:szCs w:val="20"/>
          <w:color w:val="auto"/>
        </w:rPr>
      </w:pPr>
    </w:p>
    <w:p>
      <w:pPr>
        <w:spacing w:after="0" w:line="298" w:lineRule="auto"/>
        <w:rPr>
          <w:sz w:val="20"/>
          <w:szCs w:val="20"/>
          <w:color w:val="auto"/>
        </w:rPr>
      </w:pPr>
      <w:r>
        <w:rPr>
          <w:rFonts w:ascii="Arial" w:cs="Arial" w:eastAsia="Arial" w:hAnsi="Arial"/>
          <w:sz w:val="13"/>
          <w:szCs w:val="13"/>
          <w:color w:val="auto"/>
        </w:rPr>
        <w:t>Except as required by law, the Company undertakes no obligation to update or revise any forward-looking statements, which speak only as of the date of this press release, whether as a result of new information, future events or otherwise.</w:t>
      </w:r>
    </w:p>
    <w:p>
      <w:pPr>
        <w:spacing w:after="0" w:line="124"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Investor Relations Contact:</w:t>
      </w:r>
    </w:p>
    <w:p>
      <w:pPr>
        <w:spacing w:after="0" w:line="16" w:lineRule="exact"/>
        <w:rPr>
          <w:sz w:val="20"/>
          <w:szCs w:val="20"/>
          <w:color w:val="auto"/>
        </w:rPr>
      </w:pPr>
    </w:p>
    <w:p>
      <w:pPr>
        <w:spacing w:after="0"/>
        <w:rPr>
          <w:sz w:val="20"/>
          <w:szCs w:val="20"/>
          <w:color w:val="auto"/>
        </w:rPr>
      </w:pPr>
      <w:r>
        <w:rPr>
          <w:rFonts w:ascii="Arial" w:cs="Arial" w:eastAsia="Arial" w:hAnsi="Arial"/>
          <w:sz w:val="13"/>
          <w:szCs w:val="13"/>
          <w:color w:val="212121"/>
        </w:rPr>
        <w:t>Jennifer Minai-Azary</w:t>
      </w:r>
    </w:p>
    <w:p>
      <w:pPr>
        <w:spacing w:after="0" w:line="12" w:lineRule="exact"/>
        <w:rPr>
          <w:sz w:val="20"/>
          <w:szCs w:val="20"/>
          <w:color w:val="auto"/>
        </w:rPr>
      </w:pPr>
    </w:p>
    <w:p>
      <w:pPr>
        <w:spacing w:after="0"/>
        <w:rPr>
          <w:sz w:val="20"/>
          <w:szCs w:val="20"/>
          <w:color w:val="auto"/>
        </w:rPr>
      </w:pPr>
      <w:r>
        <w:rPr>
          <w:rFonts w:ascii="Arial" w:cs="Arial" w:eastAsia="Arial" w:hAnsi="Arial"/>
          <w:sz w:val="13"/>
          <w:szCs w:val="13"/>
          <w:color w:val="212121"/>
        </w:rPr>
        <w:t>Chief Financial Officer</w:t>
      </w:r>
    </w:p>
    <w:p>
      <w:pPr>
        <w:sectPr>
          <w:pgSz w:w="11900" w:h="16838" w:orient="portrait"/>
          <w:cols w:equalWidth="0" w:num="1">
            <w:col w:w="11300"/>
          </w:cols>
          <w:pgMar w:left="300" w:top="998" w:right="299" w:bottom="1440" w:gutter="0" w:footer="0" w:header="0"/>
        </w:sectPr>
      </w:pPr>
    </w:p>
    <w:bookmarkStart w:id="52" w:name="page53"/>
    <w:bookmarkEnd w:id="52"/>
    <w:p>
      <w:pPr>
        <w:ind w:left="8"/>
        <w:spacing w:after="0"/>
        <w:rPr>
          <w:sz w:val="20"/>
          <w:szCs w:val="20"/>
          <w:color w:val="auto"/>
        </w:rPr>
      </w:pPr>
      <w:r>
        <w:rPr>
          <w:rFonts w:ascii="Arial" w:cs="Arial" w:eastAsia="Arial" w:hAnsi="Arial"/>
          <w:sz w:val="13"/>
          <w:szCs w:val="13"/>
          <w:color w:val="212121"/>
        </w:rPr>
        <w:t>Context Therapeutics</w:t>
      </w:r>
    </w:p>
    <w:p>
      <w:pPr>
        <w:spacing w:after="0" w:line="24" w:lineRule="exact"/>
        <w:rPr>
          <w:sz w:val="20"/>
          <w:szCs w:val="20"/>
          <w:color w:val="auto"/>
        </w:rPr>
      </w:pPr>
    </w:p>
    <w:p>
      <w:pPr>
        <w:ind w:left="8"/>
        <w:spacing w:after="0"/>
        <w:rPr>
          <w:sz w:val="20"/>
          <w:szCs w:val="20"/>
          <w:color w:val="auto"/>
        </w:rPr>
      </w:pPr>
      <w:r>
        <w:rPr>
          <w:rFonts w:ascii="Arial" w:cs="Arial" w:eastAsia="Arial" w:hAnsi="Arial"/>
          <w:sz w:val="13"/>
          <w:szCs w:val="13"/>
          <w:color w:val="auto"/>
        </w:rPr>
        <w:t>IR@contexttherapeutics.com</w:t>
      </w:r>
    </w:p>
    <w:p>
      <w:pPr>
        <w:ind w:left="88" w:hanging="88"/>
        <w:spacing w:after="0" w:line="214" w:lineRule="auto"/>
        <w:tabs>
          <w:tab w:leader="none" w:pos="88" w:val="left"/>
        </w:tabs>
        <w:numPr>
          <w:ilvl w:val="0"/>
          <w:numId w:val="7"/>
        </w:numPr>
        <w:rPr>
          <w:rFonts w:ascii="Arial" w:cs="Arial" w:eastAsia="Arial" w:hAnsi="Arial"/>
          <w:sz w:val="17"/>
          <w:szCs w:val="17"/>
          <w:color w:val="auto"/>
          <w:vertAlign w:val="superscript"/>
        </w:rPr>
      </w:pPr>
      <w:r>
        <w:rPr>
          <w:rFonts w:ascii="Arial" w:cs="Arial" w:eastAsia="Arial" w:hAnsi="Arial"/>
          <w:sz w:val="13"/>
          <w:szCs w:val="13"/>
          <w:color w:val="auto"/>
        </w:rPr>
        <w:t>Disease Control Rate: Patients achieving a confirmed response of stable disease, partial response, or complete response.</w:t>
      </w:r>
    </w:p>
    <w:p>
      <w:pPr>
        <w:sectPr>
          <w:pgSz w:w="11900" w:h="16838" w:orient="portrait"/>
          <w:cols w:equalWidth="0" w:num="1">
            <w:col w:w="10167"/>
          </w:cols>
          <w:pgMar w:left="292" w:top="989" w:right="1440" w:bottom="1440" w:gutter="0" w:footer="0" w:header="0"/>
        </w:sectPr>
      </w:pPr>
    </w:p>
    <w:bookmarkStart w:id="53" w:name="page54"/>
    <w:bookmarkEnd w:id="53"/>
    <w:p>
      <w:pPr>
        <w:spacing w:after="0" w:line="214" w:lineRule="auto"/>
        <w:tabs>
          <w:tab w:leader="none" w:pos="88"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271780</wp:posOffset>
            </wp:positionV>
            <wp:extent cx="7130415" cy="34042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4" w:name="page55"/>
    <w:bookmarkEnd w:id="54"/>
    <w:p>
      <w:pPr>
        <w:spacing w:after="0" w:line="214" w:lineRule="auto"/>
        <w:tabs>
          <w:tab w:leader="none" w:pos="88"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995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0415" cy="34099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5" w:name="page56"/>
    <w:bookmarkEnd w:id="55"/>
    <w:p>
      <w:pPr>
        <w:spacing w:after="0" w:line="214" w:lineRule="auto"/>
        <w:tabs>
          <w:tab w:leader="none" w:pos="88"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6" w:name="page57"/>
    <w:bookmarkEnd w:id="56"/>
    <w:p>
      <w:pPr>
        <w:spacing w:after="0" w:line="214" w:lineRule="auto"/>
        <w:tabs>
          <w:tab w:leader="none" w:pos="88"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7" w:name="page58"/>
    <w:bookmarkEnd w:id="57"/>
    <w:p>
      <w:pPr>
        <w:spacing w:after="0" w:line="214" w:lineRule="auto"/>
        <w:tabs>
          <w:tab w:leader="none" w:pos="88"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8" w:name="page59"/>
    <w:bookmarkEnd w:id="58"/>
    <w:p>
      <w:pPr>
        <w:spacing w:after="0" w:line="214" w:lineRule="auto"/>
        <w:tabs>
          <w:tab w:leader="none" w:pos="88"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9" w:name="page60"/>
    <w:bookmarkEnd w:id="59"/>
    <w:p>
      <w:pPr>
        <w:spacing w:after="0" w:line="214" w:lineRule="auto"/>
        <w:tabs>
          <w:tab w:leader="none" w:pos="88"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0" w:name="page61"/>
    <w:bookmarkEnd w:id="60"/>
    <w:p>
      <w:pPr>
        <w:spacing w:after="0" w:line="214" w:lineRule="auto"/>
        <w:tabs>
          <w:tab w:leader="none" w:pos="88"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1" w:name="page62"/>
    <w:bookmarkEnd w:id="61"/>
    <w:p>
      <w:pPr>
        <w:spacing w:after="0" w:line="214" w:lineRule="auto"/>
        <w:tabs>
          <w:tab w:leader="none" w:pos="88"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2" w:name="page63"/>
    <w:bookmarkEnd w:id="62"/>
    <w:p>
      <w:pPr>
        <w:spacing w:after="0" w:line="214" w:lineRule="auto"/>
        <w:tabs>
          <w:tab w:leader="none" w:pos="88"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3" w:name="page64"/>
    <w:bookmarkEnd w:id="63"/>
    <w:p>
      <w:pPr>
        <w:spacing w:after="0" w:line="214" w:lineRule="auto"/>
        <w:tabs>
          <w:tab w:leader="none" w:pos="88"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4" w:name="page65"/>
    <w:bookmarkEnd w:id="64"/>
    <w:p>
      <w:pPr>
        <w:spacing w:after="0" w:line="214" w:lineRule="auto"/>
        <w:tabs>
          <w:tab w:leader="none" w:pos="88"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5" w:name="page66"/>
    <w:bookmarkEnd w:id="65"/>
    <w:p>
      <w:pPr>
        <w:spacing w:after="0" w:line="214" w:lineRule="auto"/>
        <w:tabs>
          <w:tab w:leader="none" w:pos="88"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6" w:name="page67"/>
    <w:bookmarkEnd w:id="66"/>
    <w:p>
      <w:pPr>
        <w:spacing w:after="0" w:line="214" w:lineRule="auto"/>
        <w:tabs>
          <w:tab w:leader="none" w:pos="88"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7" w:name="page68"/>
    <w:bookmarkEnd w:id="67"/>
    <w:p>
      <w:pPr>
        <w:spacing w:after="0" w:line="214" w:lineRule="auto"/>
        <w:tabs>
          <w:tab w:leader="none" w:pos="88"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8" w:name="page69"/>
    <w:bookmarkEnd w:id="68"/>
    <w:p>
      <w:pPr>
        <w:spacing w:after="0" w:line="214" w:lineRule="auto"/>
        <w:tabs>
          <w:tab w:leader="none" w:pos="88"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9" w:name="page70"/>
    <w:bookmarkEnd w:id="69"/>
    <w:p>
      <w:pPr>
        <w:spacing w:after="0" w:line="214" w:lineRule="auto"/>
        <w:tabs>
          <w:tab w:leader="none" w:pos="88"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0" w:name="page71"/>
    <w:bookmarkEnd w:id="70"/>
    <w:p>
      <w:pPr>
        <w:spacing w:after="0" w:line="214" w:lineRule="auto"/>
        <w:tabs>
          <w:tab w:leader="none" w:pos="88"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1" w:name="page72"/>
    <w:bookmarkEnd w:id="71"/>
    <w:p>
      <w:pPr>
        <w:spacing w:after="0" w:line="214" w:lineRule="auto"/>
        <w:tabs>
          <w:tab w:leader="none" w:pos="88"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2" w:name="page73"/>
    <w:bookmarkEnd w:id="72"/>
    <w:p>
      <w:pPr>
        <w:spacing w:after="0" w:line="214" w:lineRule="auto"/>
        <w:tabs>
          <w:tab w:leader="none" w:pos="88"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3" w:name="page74"/>
    <w:bookmarkEnd w:id="73"/>
    <w:p>
      <w:pPr>
        <w:spacing w:after="0" w:line="214" w:lineRule="auto"/>
        <w:tabs>
          <w:tab w:leader="none" w:pos="88"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4" w:name="page75"/>
    <w:bookmarkEnd w:id="74"/>
    <w:p>
      <w:pPr>
        <w:spacing w:after="0" w:line="214" w:lineRule="auto"/>
        <w:tabs>
          <w:tab w:leader="none" w:pos="88"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5" w:name="page76"/>
    <w:bookmarkEnd w:id="75"/>
    <w:p>
      <w:pPr>
        <w:spacing w:after="0" w:line="214" w:lineRule="auto"/>
        <w:tabs>
          <w:tab w:leader="none" w:pos="88"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6" w:name="page77"/>
    <w:bookmarkEnd w:id="76"/>
    <w:p>
      <w:pPr>
        <w:spacing w:after="0" w:line="214" w:lineRule="auto"/>
        <w:tabs>
          <w:tab w:leader="none" w:pos="88"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7" w:name="page78"/>
    <w:bookmarkEnd w:id="77"/>
    <w:p>
      <w:pPr>
        <w:spacing w:after="0" w:line="214" w:lineRule="auto"/>
        <w:tabs>
          <w:tab w:leader="none" w:pos="88"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8" w:name="page79"/>
    <w:bookmarkEnd w:id="78"/>
    <w:p>
      <w:pPr>
        <w:spacing w:after="0" w:line="214" w:lineRule="auto"/>
        <w:tabs>
          <w:tab w:leader="none" w:pos="88"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9" w:name="page80"/>
    <w:bookmarkEnd w:id="79"/>
    <w:p>
      <w:pPr>
        <w:spacing w:after="0" w:line="214" w:lineRule="auto"/>
        <w:tabs>
          <w:tab w:leader="none" w:pos="88"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0" w:name="page81"/>
    <w:bookmarkEnd w:id="80"/>
    <w:p>
      <w:pPr>
        <w:spacing w:after="0" w:line="214" w:lineRule="auto"/>
        <w:tabs>
          <w:tab w:leader="none" w:pos="88"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1" w:name="page82"/>
    <w:bookmarkEnd w:id="81"/>
    <w:p>
      <w:pPr>
        <w:spacing w:after="0" w:line="214" w:lineRule="auto"/>
        <w:tabs>
          <w:tab w:leader="none" w:pos="88"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2" w:name="page83"/>
    <w:bookmarkEnd w:id="82"/>
    <w:p>
      <w:pPr>
        <w:spacing w:after="0" w:line="214" w:lineRule="auto"/>
        <w:tabs>
          <w:tab w:leader="none" w:pos="88"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3" w:name="page84"/>
    <w:bookmarkEnd w:id="83"/>
    <w:p>
      <w:pPr>
        <w:spacing w:after="0" w:line="214" w:lineRule="auto"/>
        <w:tabs>
          <w:tab w:leader="none" w:pos="88"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4" w:name="page85"/>
    <w:bookmarkEnd w:id="84"/>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25558EC"/>
    <w:multiLevelType w:val="hybridMultilevel"/>
    <w:lvl w:ilvl="0">
      <w:lvlJc w:val="left"/>
      <w:lvlText w:val="☐"/>
      <w:numFmt w:val="bullet"/>
      <w:start w:val="1"/>
    </w:lvl>
  </w:abstractNum>
  <w:abstractNum w:abstractNumId="1">
    <w:nsid w:val="238E1F29"/>
    <w:multiLevelType w:val="hybridMultilevel"/>
    <w:lvl w:ilvl="0">
      <w:lvlJc w:val="left"/>
      <w:lvlText w:val="•"/>
      <w:numFmt w:val="bullet"/>
      <w:start w:val="1"/>
    </w:lvl>
  </w:abstractNum>
  <w:abstractNum w:abstractNumId="2">
    <w:nsid w:val="46E87CCD"/>
    <w:multiLevelType w:val="hybridMultilevel"/>
    <w:lvl w:ilvl="0">
      <w:lvlJc w:val="left"/>
      <w:lvlText w:val="•"/>
      <w:numFmt w:val="bullet"/>
      <w:start w:val="1"/>
    </w:lvl>
  </w:abstractNum>
  <w:abstractNum w:abstractNumId="3">
    <w:nsid w:val="3D1B58BA"/>
    <w:multiLevelType w:val="hybridMultilevel"/>
    <w:lvl w:ilvl="0">
      <w:lvlJc w:val="left"/>
      <w:lvlText w:val="•"/>
      <w:numFmt w:val="bullet"/>
      <w:start w:val="1"/>
    </w:lvl>
  </w:abstractNum>
  <w:abstractNum w:abstractNumId="4">
    <w:nsid w:val="507ED7AB"/>
    <w:multiLevelType w:val="hybridMultilevel"/>
    <w:lvl w:ilvl="0">
      <w:lvlJc w:val="left"/>
      <w:lvlText w:val="•"/>
      <w:numFmt w:val="bullet"/>
      <w:start w:val="1"/>
    </w:lvl>
  </w:abstractNum>
  <w:abstractNum w:abstractNumId="5">
    <w:nsid w:val="2EB141F2"/>
    <w:multiLevelType w:val="hybridMultilevel"/>
    <w:lvl w:ilvl="0">
      <w:lvlJc w:val="left"/>
      <w:lvlText w:val="•"/>
      <w:numFmt w:val="bullet"/>
      <w:start w:val="1"/>
    </w:lvl>
  </w:abstractNum>
  <w:abstractNum w:abstractNumId="6">
    <w:nsid w:val="41B71EFB"/>
    <w:multiLevelType w:val="hybridMultilevel"/>
    <w:lvl w:ilvl="0">
      <w:lvlJc w:val="left"/>
      <w:lvlText w:val="1"/>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jpe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2026-06-15T08:21:03Z</dcterms:created>
  <dcterms:modified xsi:type="dcterms:W3CDTF">2026-06-15T08:21:03Z</dcterms:modified>
</cp:coreProperties>
</file>