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Context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21077P108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[_] Rule 13d-1(b)</w:t>
      </w:r>
    </w:p>
    <w:p>
      <w:pPr>
        <w:spacing w:after="0" w:line="225" w:lineRule="exact"/>
        <w:rPr>
          <w:sz w:val="24"/>
          <w:szCs w:val="24"/>
          <w:color w:val="auto"/>
        </w:rPr>
      </w:pPr>
    </w:p>
    <w:p>
      <w:pPr>
        <w:jc w:val="both"/>
        <w:ind w:left="1300" w:right="8640" w:firstLine="4"/>
        <w:spacing w:after="0" w:line="530" w:lineRule="auto"/>
        <w:tabs>
          <w:tab w:leader="none" w:pos="159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13d-1(c) [_] Rule 13d-1(d)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1"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 w:name="page2"/>
    <w:bookmarkEnd w:id="1"/>
    <w:tbl>
      <w:tblPr>
        <w:tblLayout w:type="fixed"/>
        <w:tblInd w:w="92"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21077P108</w:t>
            </w:r>
          </w:p>
        </w:tc>
      </w:tr>
    </w:tbl>
    <w:p>
      <w:pPr>
        <w:spacing w:after="0" w:line="198" w:lineRule="exact"/>
        <w:rPr>
          <w:sz w:val="20"/>
          <w:szCs w:val="20"/>
          <w:color w:val="auto"/>
        </w:rPr>
      </w:pPr>
    </w:p>
    <w:p>
      <w:pPr>
        <w:ind w:left="992" w:hanging="895"/>
        <w:spacing w:after="0"/>
        <w:tabs>
          <w:tab w:leader="none" w:pos="9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92" w:right="442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Avidity Partners Management LP</w:t>
      </w:r>
    </w:p>
    <w:p>
      <w:pPr>
        <w:ind w:left="992" w:hanging="895"/>
        <w:spacing w:after="0"/>
        <w:tabs>
          <w:tab w:leader="none" w:pos="99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992" w:hanging="895"/>
        <w:spacing w:after="0"/>
        <w:tabs>
          <w:tab w:leader="none" w:pos="9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92" w:right="6340" w:hanging="895"/>
        <w:spacing w:after="0" w:line="532" w:lineRule="auto"/>
        <w:tabs>
          <w:tab w:leader="none" w:pos="9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992" w:right="8160" w:hanging="895"/>
        <w:spacing w:after="0" w:line="500" w:lineRule="auto"/>
        <w:tabs>
          <w:tab w:leader="none" w:pos="9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92" w:right="7880" w:hanging="895"/>
        <w:spacing w:after="0" w:line="500" w:lineRule="auto"/>
        <w:tabs>
          <w:tab w:leader="none" w:pos="9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7,500,431</w:t>
      </w:r>
    </w:p>
    <w:p>
      <w:pPr>
        <w:spacing w:after="0" w:line="1" w:lineRule="exact"/>
        <w:rPr>
          <w:rFonts w:ascii="Times New Roman" w:cs="Times New Roman" w:eastAsia="Times New Roman" w:hAnsi="Times New Roman"/>
          <w:sz w:val="18"/>
          <w:szCs w:val="18"/>
          <w:color w:val="auto"/>
        </w:rPr>
      </w:pPr>
    </w:p>
    <w:p>
      <w:pPr>
        <w:ind w:left="992" w:right="7760" w:hanging="895"/>
        <w:spacing w:after="0" w:line="500" w:lineRule="auto"/>
        <w:tabs>
          <w:tab w:leader="none" w:pos="9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92" w:right="7480" w:hanging="895"/>
        <w:spacing w:after="0" w:line="500" w:lineRule="auto"/>
        <w:tabs>
          <w:tab w:leader="none" w:pos="9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7,500,431</w:t>
      </w:r>
    </w:p>
    <w:p>
      <w:pPr>
        <w:spacing w:after="0" w:line="1" w:lineRule="exact"/>
        <w:rPr>
          <w:rFonts w:ascii="Times New Roman" w:cs="Times New Roman" w:eastAsia="Times New Roman" w:hAnsi="Times New Roman"/>
          <w:sz w:val="18"/>
          <w:szCs w:val="18"/>
          <w:color w:val="auto"/>
        </w:rPr>
      </w:pPr>
    </w:p>
    <w:p>
      <w:pPr>
        <w:ind w:left="992" w:right="3460" w:hanging="895"/>
        <w:spacing w:after="0" w:line="500" w:lineRule="auto"/>
        <w:tabs>
          <w:tab w:leader="none" w:pos="9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7,500,431</w:t>
      </w:r>
    </w:p>
    <w:p>
      <w:pPr>
        <w:spacing w:after="0" w:line="1" w:lineRule="exact"/>
        <w:rPr>
          <w:rFonts w:ascii="Times New Roman" w:cs="Times New Roman" w:eastAsia="Times New Roman" w:hAnsi="Times New Roman"/>
          <w:sz w:val="18"/>
          <w:szCs w:val="18"/>
          <w:color w:val="auto"/>
        </w:rPr>
      </w:pPr>
    </w:p>
    <w:p>
      <w:pPr>
        <w:ind w:left="992" w:hanging="895"/>
        <w:spacing w:after="0"/>
        <w:tabs>
          <w:tab w:leader="none" w:pos="9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[_]</w:t>
      </w:r>
    </w:p>
    <w:p>
      <w:pPr>
        <w:spacing w:after="0" w:line="200" w:lineRule="exact"/>
        <w:rPr>
          <w:sz w:val="20"/>
          <w:szCs w:val="20"/>
          <w:color w:val="auto"/>
        </w:rPr>
      </w:pPr>
    </w:p>
    <w:p>
      <w:pPr>
        <w:spacing w:after="0" w:line="223" w:lineRule="exact"/>
        <w:rPr>
          <w:sz w:val="20"/>
          <w:szCs w:val="20"/>
          <w:color w:val="auto"/>
        </w:rPr>
      </w:pPr>
    </w:p>
    <w:p>
      <w:pPr>
        <w:ind w:left="992" w:right="4960" w:hanging="895"/>
        <w:spacing w:after="0" w:line="401" w:lineRule="auto"/>
        <w:tabs>
          <w:tab w:leader="none" w:pos="9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w:t>
      </w:r>
      <w:r>
        <w:rPr>
          <w:rFonts w:ascii="Times New Roman" w:cs="Times New Roman" w:eastAsia="Times New Roman" w:hAnsi="Times New Roman"/>
          <w:sz w:val="29"/>
          <w:szCs w:val="29"/>
          <w:color w:val="auto"/>
          <w:vertAlign w:val="superscript"/>
        </w:rPr>
        <w:t>1</w:t>
      </w:r>
    </w:p>
    <w:p>
      <w:pPr>
        <w:spacing w:after="0" w:line="1" w:lineRule="exact"/>
        <w:rPr>
          <w:sz w:val="20"/>
          <w:szCs w:val="20"/>
          <w:color w:val="auto"/>
        </w:rPr>
      </w:pPr>
    </w:p>
    <w:p>
      <w:pPr>
        <w:ind w:left="992"/>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12.</w:t>
      </w:r>
    </w:p>
    <w:p>
      <w:pPr>
        <w:spacing w:after="0" w:line="9" w:lineRule="exact"/>
        <w:rPr>
          <w:sz w:val="20"/>
          <w:szCs w:val="20"/>
          <w:color w:val="auto"/>
        </w:rPr>
      </w:pPr>
    </w:p>
    <w:p>
      <w:pPr>
        <w:ind w:left="992"/>
        <w:spacing w:after="0"/>
        <w:rPr>
          <w:sz w:val="20"/>
          <w:szCs w:val="20"/>
          <w:color w:val="auto"/>
        </w:rPr>
      </w:pPr>
      <w:r>
        <w:rPr>
          <w:rFonts w:ascii="Times New Roman" w:cs="Times New Roman" w:eastAsia="Times New Roman" w:hAnsi="Times New Roman"/>
          <w:sz w:val="18"/>
          <w:szCs w:val="18"/>
          <w:color w:val="auto"/>
        </w:rPr>
        <w:t>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1564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349" w:lineRule="exact"/>
        <w:rPr>
          <w:sz w:val="20"/>
          <w:szCs w:val="20"/>
          <w:color w:val="auto"/>
        </w:rPr>
      </w:pPr>
    </w:p>
    <w:p>
      <w:pPr>
        <w:ind w:left="-8" w:firstLine="8"/>
        <w:spacing w:after="0" w:line="195" w:lineRule="auto"/>
        <w:tabs>
          <w:tab w:leader="none" w:pos="112"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percentage of ownership based on 74,998,312 shares of Common Stock of the Company outstanding as of May 7, 2024, as reported on the Issuer’s Form 10-Q filed on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12"/>
          </w:cols>
          <w:pgMar w:left="328" w:top="688" w:right="559" w:bottom="1440" w:gutter="0" w:footer="0" w:header="0"/>
        </w:sectPr>
      </w:pPr>
    </w:p>
    <w:bookmarkStart w:id="2" w:name="page3"/>
    <w:bookmarkEnd w:id="2"/>
    <w:tbl>
      <w:tblPr>
        <w:tblLayout w:type="fixed"/>
        <w:tblInd w:w="92"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21077P108</w:t>
            </w:r>
          </w:p>
        </w:tc>
      </w:tr>
    </w:tbl>
    <w:p>
      <w:pPr>
        <w:spacing w:after="0" w:line="198" w:lineRule="exact"/>
        <w:rPr>
          <w:sz w:val="20"/>
          <w:szCs w:val="20"/>
          <w:color w:val="auto"/>
        </w:rPr>
      </w:pPr>
    </w:p>
    <w:p>
      <w:pPr>
        <w:ind w:left="992" w:hanging="895"/>
        <w:spacing w:after="0"/>
        <w:tabs>
          <w:tab w:leader="none" w:pos="9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92" w:right="442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Avidity Partners Management (GP) LLC</w:t>
      </w:r>
    </w:p>
    <w:p>
      <w:pPr>
        <w:ind w:left="992" w:hanging="895"/>
        <w:spacing w:after="0"/>
        <w:tabs>
          <w:tab w:leader="none" w:pos="9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992" w:hanging="895"/>
        <w:spacing w:after="0"/>
        <w:tabs>
          <w:tab w:leader="none" w:pos="9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92" w:right="6340" w:hanging="895"/>
        <w:spacing w:after="0" w:line="532" w:lineRule="auto"/>
        <w:tabs>
          <w:tab w:leader="none" w:pos="9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992" w:right="8160" w:hanging="895"/>
        <w:spacing w:after="0" w:line="500" w:lineRule="auto"/>
        <w:tabs>
          <w:tab w:leader="none" w:pos="9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92" w:right="7880" w:hanging="895"/>
        <w:spacing w:after="0" w:line="500" w:lineRule="auto"/>
        <w:tabs>
          <w:tab w:leader="none" w:pos="9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7,500,431</w:t>
      </w:r>
    </w:p>
    <w:p>
      <w:pPr>
        <w:spacing w:after="0" w:line="1" w:lineRule="exact"/>
        <w:rPr>
          <w:rFonts w:ascii="Times New Roman" w:cs="Times New Roman" w:eastAsia="Times New Roman" w:hAnsi="Times New Roman"/>
          <w:sz w:val="18"/>
          <w:szCs w:val="18"/>
          <w:color w:val="auto"/>
        </w:rPr>
      </w:pPr>
    </w:p>
    <w:p>
      <w:pPr>
        <w:ind w:left="992" w:right="7760" w:hanging="895"/>
        <w:spacing w:after="0" w:line="500" w:lineRule="auto"/>
        <w:tabs>
          <w:tab w:leader="none" w:pos="9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92" w:right="7480" w:hanging="895"/>
        <w:spacing w:after="0" w:line="500" w:lineRule="auto"/>
        <w:tabs>
          <w:tab w:leader="none" w:pos="9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7,500,431</w:t>
      </w:r>
    </w:p>
    <w:p>
      <w:pPr>
        <w:spacing w:after="0" w:line="1" w:lineRule="exact"/>
        <w:rPr>
          <w:rFonts w:ascii="Times New Roman" w:cs="Times New Roman" w:eastAsia="Times New Roman" w:hAnsi="Times New Roman"/>
          <w:sz w:val="18"/>
          <w:szCs w:val="18"/>
          <w:color w:val="auto"/>
        </w:rPr>
      </w:pPr>
    </w:p>
    <w:p>
      <w:pPr>
        <w:ind w:left="992" w:right="3460" w:hanging="895"/>
        <w:spacing w:after="0" w:line="500" w:lineRule="auto"/>
        <w:tabs>
          <w:tab w:leader="none" w:pos="9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7,500,431</w:t>
      </w:r>
    </w:p>
    <w:p>
      <w:pPr>
        <w:spacing w:after="0" w:line="1" w:lineRule="exact"/>
        <w:rPr>
          <w:rFonts w:ascii="Times New Roman" w:cs="Times New Roman" w:eastAsia="Times New Roman" w:hAnsi="Times New Roman"/>
          <w:sz w:val="18"/>
          <w:szCs w:val="18"/>
          <w:color w:val="auto"/>
        </w:rPr>
      </w:pPr>
    </w:p>
    <w:p>
      <w:pPr>
        <w:ind w:left="992" w:hanging="895"/>
        <w:spacing w:after="0"/>
        <w:tabs>
          <w:tab w:leader="none" w:pos="9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[_]</w:t>
      </w:r>
    </w:p>
    <w:p>
      <w:pPr>
        <w:spacing w:after="0" w:line="200" w:lineRule="exact"/>
        <w:rPr>
          <w:sz w:val="20"/>
          <w:szCs w:val="20"/>
          <w:color w:val="auto"/>
        </w:rPr>
      </w:pPr>
    </w:p>
    <w:p>
      <w:pPr>
        <w:spacing w:after="0" w:line="223" w:lineRule="exact"/>
        <w:rPr>
          <w:sz w:val="20"/>
          <w:szCs w:val="20"/>
          <w:color w:val="auto"/>
        </w:rPr>
      </w:pPr>
    </w:p>
    <w:p>
      <w:pPr>
        <w:ind w:left="992" w:right="4960" w:hanging="895"/>
        <w:spacing w:after="0" w:line="401" w:lineRule="auto"/>
        <w:tabs>
          <w:tab w:leader="none" w:pos="9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w:t>
      </w:r>
      <w:r>
        <w:rPr>
          <w:rFonts w:ascii="Times New Roman" w:cs="Times New Roman" w:eastAsia="Times New Roman" w:hAnsi="Times New Roman"/>
          <w:sz w:val="29"/>
          <w:szCs w:val="29"/>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992" w:right="5680" w:hanging="895"/>
        <w:spacing w:after="0" w:line="532" w:lineRule="auto"/>
        <w:tabs>
          <w:tab w:leader="none" w:pos="9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564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88" w:lineRule="exact"/>
        <w:rPr>
          <w:sz w:val="20"/>
          <w:szCs w:val="20"/>
          <w:color w:val="auto"/>
        </w:rPr>
      </w:pPr>
    </w:p>
    <w:p>
      <w:pPr>
        <w:ind w:left="-8" w:firstLine="8"/>
        <w:spacing w:after="0" w:line="195" w:lineRule="auto"/>
        <w:tabs>
          <w:tab w:leader="none" w:pos="112"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percentage of ownership based on 74,998,312 shares of Common Stock of the Company outstanding as of May 7, 2024, as reported on the Issuer’s Form 10-Q filed on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12"/>
          </w:cols>
          <w:pgMar w:left="328" w:top="472" w:right="559" w:bottom="1440" w:gutter="0" w:footer="0" w:header="0"/>
        </w:sectPr>
      </w:pPr>
    </w:p>
    <w:bookmarkStart w:id="3" w:name="page4"/>
    <w:bookmarkEnd w:id="3"/>
    <w:tbl>
      <w:tblPr>
        <w:tblLayout w:type="fixed"/>
        <w:tblInd w:w="92"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21077P108</w:t>
            </w:r>
          </w:p>
        </w:tc>
      </w:tr>
    </w:tbl>
    <w:p>
      <w:pPr>
        <w:spacing w:after="0" w:line="198" w:lineRule="exact"/>
        <w:rPr>
          <w:sz w:val="20"/>
          <w:szCs w:val="20"/>
          <w:color w:val="auto"/>
        </w:rPr>
      </w:pPr>
    </w:p>
    <w:p>
      <w:pPr>
        <w:ind w:left="992" w:hanging="895"/>
        <w:spacing w:after="0"/>
        <w:tabs>
          <w:tab w:leader="none" w:pos="9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92" w:right="442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Avidity Capital Partners Fund (GP) LP</w:t>
      </w:r>
    </w:p>
    <w:p>
      <w:pPr>
        <w:ind w:left="992" w:hanging="895"/>
        <w:spacing w:after="0"/>
        <w:tabs>
          <w:tab w:leader="none" w:pos="9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992" w:hanging="895"/>
        <w:spacing w:after="0"/>
        <w:tabs>
          <w:tab w:leader="none" w:pos="9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92" w:right="6340" w:hanging="895"/>
        <w:spacing w:after="0" w:line="532" w:lineRule="auto"/>
        <w:tabs>
          <w:tab w:leader="none" w:pos="9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992" w:right="8160" w:hanging="895"/>
        <w:spacing w:after="0" w:line="500" w:lineRule="auto"/>
        <w:tabs>
          <w:tab w:leader="none" w:pos="9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92" w:right="7880" w:hanging="895"/>
        <w:spacing w:after="0" w:line="500" w:lineRule="auto"/>
        <w:tabs>
          <w:tab w:leader="none" w:pos="9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7,500,431</w:t>
      </w:r>
    </w:p>
    <w:p>
      <w:pPr>
        <w:spacing w:after="0" w:line="1" w:lineRule="exact"/>
        <w:rPr>
          <w:rFonts w:ascii="Times New Roman" w:cs="Times New Roman" w:eastAsia="Times New Roman" w:hAnsi="Times New Roman"/>
          <w:sz w:val="18"/>
          <w:szCs w:val="18"/>
          <w:color w:val="auto"/>
        </w:rPr>
      </w:pPr>
    </w:p>
    <w:p>
      <w:pPr>
        <w:ind w:left="992" w:right="7760" w:hanging="895"/>
        <w:spacing w:after="0" w:line="500" w:lineRule="auto"/>
        <w:tabs>
          <w:tab w:leader="none" w:pos="9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92" w:right="7480" w:hanging="895"/>
        <w:spacing w:after="0" w:line="500" w:lineRule="auto"/>
        <w:tabs>
          <w:tab w:leader="none" w:pos="9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7,500,431</w:t>
      </w:r>
    </w:p>
    <w:p>
      <w:pPr>
        <w:spacing w:after="0" w:line="1" w:lineRule="exact"/>
        <w:rPr>
          <w:rFonts w:ascii="Times New Roman" w:cs="Times New Roman" w:eastAsia="Times New Roman" w:hAnsi="Times New Roman"/>
          <w:sz w:val="18"/>
          <w:szCs w:val="18"/>
          <w:color w:val="auto"/>
        </w:rPr>
      </w:pPr>
    </w:p>
    <w:p>
      <w:pPr>
        <w:ind w:left="992" w:right="3460" w:hanging="895"/>
        <w:spacing w:after="0" w:line="500" w:lineRule="auto"/>
        <w:tabs>
          <w:tab w:leader="none" w:pos="9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7,500,431</w:t>
      </w:r>
    </w:p>
    <w:p>
      <w:pPr>
        <w:spacing w:after="0" w:line="1" w:lineRule="exact"/>
        <w:rPr>
          <w:rFonts w:ascii="Times New Roman" w:cs="Times New Roman" w:eastAsia="Times New Roman" w:hAnsi="Times New Roman"/>
          <w:sz w:val="18"/>
          <w:szCs w:val="18"/>
          <w:color w:val="auto"/>
        </w:rPr>
      </w:pPr>
    </w:p>
    <w:p>
      <w:pPr>
        <w:ind w:left="992" w:hanging="895"/>
        <w:spacing w:after="0"/>
        <w:tabs>
          <w:tab w:leader="none" w:pos="9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[_]</w:t>
      </w:r>
    </w:p>
    <w:p>
      <w:pPr>
        <w:spacing w:after="0" w:line="200" w:lineRule="exact"/>
        <w:rPr>
          <w:sz w:val="20"/>
          <w:szCs w:val="20"/>
          <w:color w:val="auto"/>
        </w:rPr>
      </w:pPr>
    </w:p>
    <w:p>
      <w:pPr>
        <w:spacing w:after="0" w:line="223" w:lineRule="exact"/>
        <w:rPr>
          <w:sz w:val="20"/>
          <w:szCs w:val="20"/>
          <w:color w:val="auto"/>
        </w:rPr>
      </w:pPr>
    </w:p>
    <w:p>
      <w:pPr>
        <w:ind w:left="992" w:right="4960" w:hanging="895"/>
        <w:spacing w:after="0" w:line="401" w:lineRule="auto"/>
        <w:tabs>
          <w:tab w:leader="none" w:pos="9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w:t>
      </w:r>
      <w:r>
        <w:rPr>
          <w:rFonts w:ascii="Times New Roman" w:cs="Times New Roman" w:eastAsia="Times New Roman" w:hAnsi="Times New Roman"/>
          <w:sz w:val="29"/>
          <w:szCs w:val="29"/>
          <w:color w:val="auto"/>
          <w:vertAlign w:val="superscript"/>
        </w:rPr>
        <w:t>3</w:t>
      </w:r>
    </w:p>
    <w:p>
      <w:pPr>
        <w:spacing w:after="0" w:line="1" w:lineRule="exact"/>
        <w:rPr>
          <w:rFonts w:ascii="Times New Roman" w:cs="Times New Roman" w:eastAsia="Times New Roman" w:hAnsi="Times New Roman"/>
          <w:sz w:val="18"/>
          <w:szCs w:val="18"/>
          <w:color w:val="auto"/>
        </w:rPr>
      </w:pPr>
    </w:p>
    <w:p>
      <w:pPr>
        <w:ind w:left="992" w:right="5680" w:hanging="895"/>
        <w:spacing w:after="0" w:line="532" w:lineRule="auto"/>
        <w:tabs>
          <w:tab w:leader="none" w:pos="9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564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88" w:lineRule="exact"/>
        <w:rPr>
          <w:sz w:val="20"/>
          <w:szCs w:val="20"/>
          <w:color w:val="auto"/>
        </w:rPr>
      </w:pPr>
    </w:p>
    <w:p>
      <w:pPr>
        <w:ind w:left="-8" w:firstLine="8"/>
        <w:spacing w:after="0" w:line="195" w:lineRule="auto"/>
        <w:tabs>
          <w:tab w:leader="none" w:pos="112"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percentage of ownership based on 74,998,312 shares of Common Stock of the Company outstanding as of May 7, 2024, as reported on the Issuer’s Form 10-Q filed on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12"/>
          </w:cols>
          <w:pgMar w:left="328" w:top="472" w:right="559" w:bottom="1440" w:gutter="0" w:footer="0" w:header="0"/>
        </w:sectPr>
      </w:pPr>
    </w:p>
    <w:bookmarkStart w:id="4" w:name="page5"/>
    <w:bookmarkEnd w:id="4"/>
    <w:tbl>
      <w:tblPr>
        <w:tblLayout w:type="fixed"/>
        <w:tblInd w:w="92"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21077P108</w:t>
            </w:r>
          </w:p>
        </w:tc>
      </w:tr>
    </w:tbl>
    <w:p>
      <w:pPr>
        <w:spacing w:after="0" w:line="198" w:lineRule="exact"/>
        <w:rPr>
          <w:sz w:val="20"/>
          <w:szCs w:val="20"/>
          <w:color w:val="auto"/>
        </w:rPr>
      </w:pPr>
    </w:p>
    <w:p>
      <w:pPr>
        <w:ind w:left="992" w:hanging="895"/>
        <w:spacing w:after="0"/>
        <w:tabs>
          <w:tab w:leader="none" w:pos="9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92" w:right="442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Avidity Capital Partners (GP) LLC</w:t>
      </w:r>
    </w:p>
    <w:p>
      <w:pPr>
        <w:ind w:left="992" w:hanging="895"/>
        <w:spacing w:after="0"/>
        <w:tabs>
          <w:tab w:leader="none" w:pos="9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992" w:hanging="895"/>
        <w:spacing w:after="0"/>
        <w:tabs>
          <w:tab w:leader="none" w:pos="9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92" w:right="6340" w:hanging="895"/>
        <w:spacing w:after="0" w:line="532" w:lineRule="auto"/>
        <w:tabs>
          <w:tab w:leader="none" w:pos="9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992" w:right="8160" w:hanging="895"/>
        <w:spacing w:after="0" w:line="500" w:lineRule="auto"/>
        <w:tabs>
          <w:tab w:leader="none" w:pos="9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92" w:right="7880" w:hanging="895"/>
        <w:spacing w:after="0" w:line="500" w:lineRule="auto"/>
        <w:tabs>
          <w:tab w:leader="none" w:pos="9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7,500,431</w:t>
      </w:r>
    </w:p>
    <w:p>
      <w:pPr>
        <w:spacing w:after="0" w:line="1" w:lineRule="exact"/>
        <w:rPr>
          <w:rFonts w:ascii="Times New Roman" w:cs="Times New Roman" w:eastAsia="Times New Roman" w:hAnsi="Times New Roman"/>
          <w:sz w:val="18"/>
          <w:szCs w:val="18"/>
          <w:color w:val="auto"/>
        </w:rPr>
      </w:pPr>
    </w:p>
    <w:p>
      <w:pPr>
        <w:ind w:left="992" w:right="7760" w:hanging="895"/>
        <w:spacing w:after="0" w:line="500" w:lineRule="auto"/>
        <w:tabs>
          <w:tab w:leader="none" w:pos="9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92" w:right="7480" w:hanging="895"/>
        <w:spacing w:after="0" w:line="500" w:lineRule="auto"/>
        <w:tabs>
          <w:tab w:leader="none" w:pos="9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7,500,431</w:t>
      </w:r>
    </w:p>
    <w:p>
      <w:pPr>
        <w:spacing w:after="0" w:line="1" w:lineRule="exact"/>
        <w:rPr>
          <w:rFonts w:ascii="Times New Roman" w:cs="Times New Roman" w:eastAsia="Times New Roman" w:hAnsi="Times New Roman"/>
          <w:sz w:val="18"/>
          <w:szCs w:val="18"/>
          <w:color w:val="auto"/>
        </w:rPr>
      </w:pPr>
    </w:p>
    <w:p>
      <w:pPr>
        <w:ind w:left="992" w:right="3460" w:hanging="895"/>
        <w:spacing w:after="0" w:line="500" w:lineRule="auto"/>
        <w:tabs>
          <w:tab w:leader="none" w:pos="9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7,500,431</w:t>
      </w:r>
    </w:p>
    <w:p>
      <w:pPr>
        <w:spacing w:after="0" w:line="1" w:lineRule="exact"/>
        <w:rPr>
          <w:rFonts w:ascii="Times New Roman" w:cs="Times New Roman" w:eastAsia="Times New Roman" w:hAnsi="Times New Roman"/>
          <w:sz w:val="18"/>
          <w:szCs w:val="18"/>
          <w:color w:val="auto"/>
        </w:rPr>
      </w:pPr>
    </w:p>
    <w:p>
      <w:pPr>
        <w:ind w:left="992" w:hanging="895"/>
        <w:spacing w:after="0"/>
        <w:tabs>
          <w:tab w:leader="none" w:pos="9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[_]</w:t>
      </w:r>
    </w:p>
    <w:p>
      <w:pPr>
        <w:spacing w:after="0" w:line="200" w:lineRule="exact"/>
        <w:rPr>
          <w:sz w:val="20"/>
          <w:szCs w:val="20"/>
          <w:color w:val="auto"/>
        </w:rPr>
      </w:pPr>
    </w:p>
    <w:p>
      <w:pPr>
        <w:spacing w:after="0" w:line="223" w:lineRule="exact"/>
        <w:rPr>
          <w:sz w:val="20"/>
          <w:szCs w:val="20"/>
          <w:color w:val="auto"/>
        </w:rPr>
      </w:pPr>
    </w:p>
    <w:p>
      <w:pPr>
        <w:ind w:left="992" w:right="4960" w:hanging="895"/>
        <w:spacing w:after="0" w:line="401" w:lineRule="auto"/>
        <w:tabs>
          <w:tab w:leader="none" w:pos="9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w:t>
      </w:r>
      <w:r>
        <w:rPr>
          <w:rFonts w:ascii="Times New Roman" w:cs="Times New Roman" w:eastAsia="Times New Roman" w:hAnsi="Times New Roman"/>
          <w:sz w:val="29"/>
          <w:szCs w:val="29"/>
          <w:color w:val="auto"/>
          <w:vertAlign w:val="superscript"/>
        </w:rPr>
        <w:t>4</w:t>
      </w:r>
    </w:p>
    <w:p>
      <w:pPr>
        <w:spacing w:after="0" w:line="1" w:lineRule="exact"/>
        <w:rPr>
          <w:rFonts w:ascii="Times New Roman" w:cs="Times New Roman" w:eastAsia="Times New Roman" w:hAnsi="Times New Roman"/>
          <w:sz w:val="18"/>
          <w:szCs w:val="18"/>
          <w:color w:val="auto"/>
        </w:rPr>
      </w:pPr>
    </w:p>
    <w:p>
      <w:pPr>
        <w:ind w:left="992" w:right="5680" w:hanging="895"/>
        <w:spacing w:after="0" w:line="532" w:lineRule="auto"/>
        <w:tabs>
          <w:tab w:leader="none" w:pos="9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564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88" w:lineRule="exact"/>
        <w:rPr>
          <w:sz w:val="20"/>
          <w:szCs w:val="20"/>
          <w:color w:val="auto"/>
        </w:rPr>
      </w:pPr>
    </w:p>
    <w:p>
      <w:pPr>
        <w:ind w:left="-8" w:firstLine="8"/>
        <w:spacing w:after="0" w:line="195" w:lineRule="auto"/>
        <w:tabs>
          <w:tab w:leader="none" w:pos="112"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percentage of ownership based on 74,998,312 shares of Common Stock of the Company outstanding as of May 7, 2024, as reported on the Issuer’s Form 10-Q filed on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12"/>
          </w:cols>
          <w:pgMar w:left="328" w:top="472" w:right="559" w:bottom="1440" w:gutter="0" w:footer="0" w:header="0"/>
        </w:sectPr>
      </w:pPr>
    </w:p>
    <w:bookmarkStart w:id="5" w:name="page6"/>
    <w:bookmarkEnd w:id="5"/>
    <w:tbl>
      <w:tblPr>
        <w:tblLayout w:type="fixed"/>
        <w:tblInd w:w="92"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21077P108</w:t>
            </w:r>
          </w:p>
        </w:tc>
      </w:tr>
    </w:tbl>
    <w:p>
      <w:pPr>
        <w:spacing w:after="0" w:line="198" w:lineRule="exact"/>
        <w:rPr>
          <w:sz w:val="20"/>
          <w:szCs w:val="20"/>
          <w:color w:val="auto"/>
        </w:rPr>
      </w:pPr>
    </w:p>
    <w:p>
      <w:pPr>
        <w:ind w:left="992" w:hanging="895"/>
        <w:spacing w:after="0"/>
        <w:tabs>
          <w:tab w:leader="none" w:pos="9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92" w:right="442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Avidity Master Fund LP</w:t>
      </w:r>
    </w:p>
    <w:p>
      <w:pPr>
        <w:ind w:left="992" w:hanging="895"/>
        <w:spacing w:after="0"/>
        <w:tabs>
          <w:tab w:leader="none" w:pos="9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992" w:hanging="895"/>
        <w:spacing w:after="0"/>
        <w:tabs>
          <w:tab w:leader="none" w:pos="99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92" w:right="6340" w:hanging="895"/>
        <w:spacing w:after="0" w:line="532" w:lineRule="auto"/>
        <w:tabs>
          <w:tab w:leader="none" w:pos="99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378" w:lineRule="exact"/>
        <w:rPr>
          <w:sz w:val="20"/>
          <w:szCs w:val="20"/>
          <w:color w:val="auto"/>
        </w:rPr>
      </w:pPr>
    </w:p>
    <w:p>
      <w:pPr>
        <w:ind w:left="992" w:right="8160" w:hanging="895"/>
        <w:spacing w:after="0" w:line="500" w:lineRule="auto"/>
        <w:tabs>
          <w:tab w:leader="none" w:pos="9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92" w:right="7880" w:hanging="895"/>
        <w:spacing w:after="0" w:line="500" w:lineRule="auto"/>
        <w:tabs>
          <w:tab w:leader="none" w:pos="9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5,125,800</w:t>
      </w:r>
    </w:p>
    <w:p>
      <w:pPr>
        <w:spacing w:after="0" w:line="1" w:lineRule="exact"/>
        <w:rPr>
          <w:rFonts w:ascii="Times New Roman" w:cs="Times New Roman" w:eastAsia="Times New Roman" w:hAnsi="Times New Roman"/>
          <w:sz w:val="18"/>
          <w:szCs w:val="18"/>
          <w:color w:val="auto"/>
        </w:rPr>
      </w:pPr>
    </w:p>
    <w:p>
      <w:pPr>
        <w:ind w:left="992" w:right="7760" w:hanging="895"/>
        <w:spacing w:after="0" w:line="500" w:lineRule="auto"/>
        <w:tabs>
          <w:tab w:leader="none" w:pos="9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92" w:right="7480" w:hanging="895"/>
        <w:spacing w:after="0" w:line="500" w:lineRule="auto"/>
        <w:tabs>
          <w:tab w:leader="none" w:pos="9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5,125,800</w:t>
      </w:r>
    </w:p>
    <w:p>
      <w:pPr>
        <w:spacing w:after="0" w:line="1" w:lineRule="exact"/>
        <w:rPr>
          <w:rFonts w:ascii="Times New Roman" w:cs="Times New Roman" w:eastAsia="Times New Roman" w:hAnsi="Times New Roman"/>
          <w:sz w:val="18"/>
          <w:szCs w:val="18"/>
          <w:color w:val="auto"/>
        </w:rPr>
      </w:pPr>
    </w:p>
    <w:p>
      <w:pPr>
        <w:ind w:left="992" w:right="3460" w:hanging="895"/>
        <w:spacing w:after="0" w:line="500" w:lineRule="auto"/>
        <w:tabs>
          <w:tab w:leader="none" w:pos="9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5,125,800</w:t>
      </w:r>
    </w:p>
    <w:p>
      <w:pPr>
        <w:spacing w:after="0" w:line="1" w:lineRule="exact"/>
        <w:rPr>
          <w:rFonts w:ascii="Times New Roman" w:cs="Times New Roman" w:eastAsia="Times New Roman" w:hAnsi="Times New Roman"/>
          <w:sz w:val="18"/>
          <w:szCs w:val="18"/>
          <w:color w:val="auto"/>
        </w:rPr>
      </w:pPr>
    </w:p>
    <w:p>
      <w:pPr>
        <w:ind w:left="992" w:hanging="895"/>
        <w:spacing w:after="0"/>
        <w:tabs>
          <w:tab w:leader="none" w:pos="9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[_]</w:t>
      </w:r>
    </w:p>
    <w:p>
      <w:pPr>
        <w:spacing w:after="0" w:line="200" w:lineRule="exact"/>
        <w:rPr>
          <w:sz w:val="20"/>
          <w:szCs w:val="20"/>
          <w:color w:val="auto"/>
        </w:rPr>
      </w:pPr>
    </w:p>
    <w:p>
      <w:pPr>
        <w:spacing w:after="0" w:line="223" w:lineRule="exact"/>
        <w:rPr>
          <w:sz w:val="20"/>
          <w:szCs w:val="20"/>
          <w:color w:val="auto"/>
        </w:rPr>
      </w:pPr>
    </w:p>
    <w:p>
      <w:pPr>
        <w:ind w:left="992" w:right="4960" w:hanging="895"/>
        <w:spacing w:after="0" w:line="401" w:lineRule="auto"/>
        <w:tabs>
          <w:tab w:leader="none" w:pos="9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6.6%</w:t>
      </w:r>
      <w:r>
        <w:rPr>
          <w:rFonts w:ascii="Times New Roman" w:cs="Times New Roman" w:eastAsia="Times New Roman" w:hAnsi="Times New Roman"/>
          <w:sz w:val="29"/>
          <w:szCs w:val="29"/>
          <w:color w:val="auto"/>
          <w:vertAlign w:val="superscript"/>
        </w:rPr>
        <w:t>5</w:t>
      </w:r>
    </w:p>
    <w:p>
      <w:pPr>
        <w:spacing w:after="0" w:line="1" w:lineRule="exact"/>
        <w:rPr>
          <w:rFonts w:ascii="Times New Roman" w:cs="Times New Roman" w:eastAsia="Times New Roman" w:hAnsi="Times New Roman"/>
          <w:sz w:val="18"/>
          <w:szCs w:val="18"/>
          <w:color w:val="auto"/>
        </w:rPr>
      </w:pPr>
    </w:p>
    <w:p>
      <w:pPr>
        <w:ind w:left="992" w:right="5680" w:hanging="895"/>
        <w:spacing w:after="0" w:line="532" w:lineRule="auto"/>
        <w:tabs>
          <w:tab w:leader="none" w:pos="99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564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88" w:lineRule="exact"/>
        <w:rPr>
          <w:sz w:val="20"/>
          <w:szCs w:val="20"/>
          <w:color w:val="auto"/>
        </w:rPr>
      </w:pPr>
    </w:p>
    <w:p>
      <w:pPr>
        <w:ind w:left="-8" w:firstLine="8"/>
        <w:spacing w:after="0" w:line="195" w:lineRule="auto"/>
        <w:tabs>
          <w:tab w:leader="none" w:pos="112"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percentage of ownership based on 74,998,312 shares of Common Stock of the Company outstanding as of May 7, 2024, as reported on the Issuer’s Form 10-Q filed on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12"/>
          </w:cols>
          <w:pgMar w:left="328" w:top="472" w:right="559" w:bottom="1440" w:gutter="0" w:footer="0" w:header="0"/>
        </w:sectPr>
      </w:pPr>
    </w:p>
    <w:bookmarkStart w:id="6" w:name="page7"/>
    <w:bookmarkEnd w:id="6"/>
    <w:tbl>
      <w:tblPr>
        <w:tblLayout w:type="fixed"/>
        <w:tblInd w:w="92"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21077P108</w:t>
            </w:r>
          </w:p>
        </w:tc>
      </w:tr>
    </w:tbl>
    <w:p>
      <w:pPr>
        <w:spacing w:after="0" w:line="198" w:lineRule="exact"/>
        <w:rPr>
          <w:sz w:val="20"/>
          <w:szCs w:val="20"/>
          <w:color w:val="auto"/>
        </w:rPr>
      </w:pPr>
    </w:p>
    <w:p>
      <w:pPr>
        <w:ind w:left="992" w:hanging="895"/>
        <w:spacing w:after="0"/>
        <w:tabs>
          <w:tab w:leader="none" w:pos="9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92" w:right="442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Avidity Private Master Fund I LP</w:t>
      </w:r>
    </w:p>
    <w:p>
      <w:pPr>
        <w:ind w:left="992" w:hanging="895"/>
        <w:spacing w:after="0"/>
        <w:tabs>
          <w:tab w:leader="none" w:pos="9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992" w:hanging="895"/>
        <w:spacing w:after="0"/>
        <w:tabs>
          <w:tab w:leader="none" w:pos="9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92" w:right="6340" w:hanging="895"/>
        <w:spacing w:after="0" w:line="532" w:lineRule="auto"/>
        <w:tabs>
          <w:tab w:leader="none" w:pos="9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378" w:lineRule="exact"/>
        <w:rPr>
          <w:sz w:val="20"/>
          <w:szCs w:val="20"/>
          <w:color w:val="auto"/>
        </w:rPr>
      </w:pPr>
    </w:p>
    <w:p>
      <w:pPr>
        <w:ind w:left="992" w:right="8160" w:hanging="895"/>
        <w:spacing w:after="0" w:line="500" w:lineRule="auto"/>
        <w:tabs>
          <w:tab w:leader="none" w:pos="9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92" w:right="7880" w:hanging="895"/>
        <w:spacing w:after="0" w:line="500" w:lineRule="auto"/>
        <w:tabs>
          <w:tab w:leader="none" w:pos="9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7,776,296</w:t>
      </w:r>
    </w:p>
    <w:p>
      <w:pPr>
        <w:spacing w:after="0" w:line="1" w:lineRule="exact"/>
        <w:rPr>
          <w:rFonts w:ascii="Times New Roman" w:cs="Times New Roman" w:eastAsia="Times New Roman" w:hAnsi="Times New Roman"/>
          <w:sz w:val="18"/>
          <w:szCs w:val="18"/>
          <w:color w:val="auto"/>
        </w:rPr>
      </w:pPr>
    </w:p>
    <w:p>
      <w:pPr>
        <w:ind w:left="992" w:right="7760" w:hanging="895"/>
        <w:spacing w:after="0" w:line="500" w:lineRule="auto"/>
        <w:tabs>
          <w:tab w:leader="none" w:pos="9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92" w:right="7480" w:hanging="895"/>
        <w:spacing w:after="0" w:line="500" w:lineRule="auto"/>
        <w:tabs>
          <w:tab w:leader="none" w:pos="9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7,776,296</w:t>
      </w:r>
    </w:p>
    <w:p>
      <w:pPr>
        <w:spacing w:after="0" w:line="1" w:lineRule="exact"/>
        <w:rPr>
          <w:rFonts w:ascii="Times New Roman" w:cs="Times New Roman" w:eastAsia="Times New Roman" w:hAnsi="Times New Roman"/>
          <w:sz w:val="18"/>
          <w:szCs w:val="18"/>
          <w:color w:val="auto"/>
        </w:rPr>
      </w:pPr>
    </w:p>
    <w:p>
      <w:pPr>
        <w:ind w:left="992" w:right="3460" w:hanging="895"/>
        <w:spacing w:after="0" w:line="500" w:lineRule="auto"/>
        <w:tabs>
          <w:tab w:leader="none" w:pos="9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7,776,296</w:t>
      </w:r>
    </w:p>
    <w:p>
      <w:pPr>
        <w:spacing w:after="0" w:line="1" w:lineRule="exact"/>
        <w:rPr>
          <w:rFonts w:ascii="Times New Roman" w:cs="Times New Roman" w:eastAsia="Times New Roman" w:hAnsi="Times New Roman"/>
          <w:sz w:val="18"/>
          <w:szCs w:val="18"/>
          <w:color w:val="auto"/>
        </w:rPr>
      </w:pPr>
    </w:p>
    <w:p>
      <w:pPr>
        <w:ind w:left="992" w:hanging="895"/>
        <w:spacing w:after="0"/>
        <w:tabs>
          <w:tab w:leader="none" w:pos="9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[_]</w:t>
      </w:r>
    </w:p>
    <w:p>
      <w:pPr>
        <w:spacing w:after="0" w:line="200" w:lineRule="exact"/>
        <w:rPr>
          <w:sz w:val="20"/>
          <w:szCs w:val="20"/>
          <w:color w:val="auto"/>
        </w:rPr>
      </w:pPr>
    </w:p>
    <w:p>
      <w:pPr>
        <w:spacing w:after="0" w:line="223" w:lineRule="exact"/>
        <w:rPr>
          <w:sz w:val="20"/>
          <w:szCs w:val="20"/>
          <w:color w:val="auto"/>
        </w:rPr>
      </w:pPr>
    </w:p>
    <w:p>
      <w:pPr>
        <w:ind w:left="992" w:right="4960" w:hanging="895"/>
        <w:spacing w:after="0" w:line="401" w:lineRule="auto"/>
        <w:tabs>
          <w:tab w:leader="none" w:pos="9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w:t>
      </w:r>
      <w:r>
        <w:rPr>
          <w:rFonts w:ascii="Times New Roman" w:cs="Times New Roman" w:eastAsia="Times New Roman" w:hAnsi="Times New Roman"/>
          <w:sz w:val="29"/>
          <w:szCs w:val="29"/>
          <w:color w:val="auto"/>
          <w:vertAlign w:val="superscript"/>
        </w:rPr>
        <w:t>6</w:t>
      </w:r>
    </w:p>
    <w:p>
      <w:pPr>
        <w:spacing w:after="0" w:line="1" w:lineRule="exact"/>
        <w:rPr>
          <w:rFonts w:ascii="Times New Roman" w:cs="Times New Roman" w:eastAsia="Times New Roman" w:hAnsi="Times New Roman"/>
          <w:sz w:val="18"/>
          <w:szCs w:val="18"/>
          <w:color w:val="auto"/>
        </w:rPr>
      </w:pPr>
    </w:p>
    <w:p>
      <w:pPr>
        <w:ind w:left="992" w:right="5680" w:hanging="895"/>
        <w:spacing w:after="0" w:line="532" w:lineRule="auto"/>
        <w:tabs>
          <w:tab w:leader="none" w:pos="99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15645"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304" w:lineRule="exact"/>
        <w:rPr>
          <w:sz w:val="20"/>
          <w:szCs w:val="20"/>
          <w:color w:val="auto"/>
        </w:rPr>
      </w:pPr>
    </w:p>
    <w:p>
      <w:pPr>
        <w:ind w:left="-8" w:firstLine="8"/>
        <w:spacing w:after="0" w:line="195" w:lineRule="auto"/>
        <w:tabs>
          <w:tab w:leader="none" w:pos="112"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percentage of ownership based on 74,998,312 shares of Common Stock of the Company outstanding as of May 7, 2024, as reported on the Issuer’s Form 10-Q filed on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12"/>
          </w:cols>
          <w:pgMar w:left="328" w:top="472" w:right="559" w:bottom="1440" w:gutter="0" w:footer="0" w:header="0"/>
        </w:sectPr>
      </w:pPr>
    </w:p>
    <w:bookmarkStart w:id="7" w:name="page8"/>
    <w:bookmarkEnd w:id="7"/>
    <w:tbl>
      <w:tblPr>
        <w:tblLayout w:type="fixed"/>
        <w:tblInd w:w="92"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21077P108</w:t>
            </w:r>
          </w:p>
        </w:tc>
      </w:tr>
    </w:tbl>
    <w:p>
      <w:pPr>
        <w:spacing w:after="0" w:line="198" w:lineRule="exact"/>
        <w:rPr>
          <w:sz w:val="20"/>
          <w:szCs w:val="20"/>
          <w:color w:val="auto"/>
        </w:rPr>
      </w:pPr>
    </w:p>
    <w:p>
      <w:pPr>
        <w:ind w:left="992" w:hanging="895"/>
        <w:spacing w:after="0"/>
        <w:tabs>
          <w:tab w:leader="none" w:pos="9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92" w:right="442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David Witzke</w:t>
      </w:r>
    </w:p>
    <w:p>
      <w:pPr>
        <w:ind w:left="992" w:hanging="895"/>
        <w:spacing w:after="0"/>
        <w:tabs>
          <w:tab w:leader="none" w:pos="9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992" w:hanging="895"/>
        <w:spacing w:after="0"/>
        <w:tabs>
          <w:tab w:leader="none" w:pos="99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992" w:right="6340" w:hanging="895"/>
        <w:spacing w:after="0" w:line="532" w:lineRule="auto"/>
        <w:tabs>
          <w:tab w:leader="none" w:pos="99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 of America</w:t>
      </w:r>
    </w:p>
    <w:p>
      <w:pPr>
        <w:spacing w:after="0" w:line="378" w:lineRule="exact"/>
        <w:rPr>
          <w:sz w:val="20"/>
          <w:szCs w:val="20"/>
          <w:color w:val="auto"/>
        </w:rPr>
      </w:pPr>
    </w:p>
    <w:p>
      <w:pPr>
        <w:ind w:left="992" w:right="8160" w:hanging="895"/>
        <w:spacing w:after="0" w:line="500" w:lineRule="auto"/>
        <w:tabs>
          <w:tab w:leader="none" w:pos="9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92" w:right="7880" w:hanging="895"/>
        <w:spacing w:after="0" w:line="500" w:lineRule="auto"/>
        <w:tabs>
          <w:tab w:leader="none" w:pos="9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7,500,431</w:t>
      </w:r>
    </w:p>
    <w:p>
      <w:pPr>
        <w:spacing w:after="0" w:line="1" w:lineRule="exact"/>
        <w:rPr>
          <w:rFonts w:ascii="Times New Roman" w:cs="Times New Roman" w:eastAsia="Times New Roman" w:hAnsi="Times New Roman"/>
          <w:sz w:val="18"/>
          <w:szCs w:val="18"/>
          <w:color w:val="auto"/>
        </w:rPr>
      </w:pPr>
    </w:p>
    <w:p>
      <w:pPr>
        <w:ind w:left="992" w:right="7760" w:hanging="895"/>
        <w:spacing w:after="0" w:line="500" w:lineRule="auto"/>
        <w:tabs>
          <w:tab w:leader="none" w:pos="9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92" w:right="7480" w:hanging="895"/>
        <w:spacing w:after="0" w:line="500" w:lineRule="auto"/>
        <w:tabs>
          <w:tab w:leader="none" w:pos="9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7,500,431</w:t>
      </w:r>
    </w:p>
    <w:p>
      <w:pPr>
        <w:spacing w:after="0" w:line="1" w:lineRule="exact"/>
        <w:rPr>
          <w:rFonts w:ascii="Times New Roman" w:cs="Times New Roman" w:eastAsia="Times New Roman" w:hAnsi="Times New Roman"/>
          <w:sz w:val="18"/>
          <w:szCs w:val="18"/>
          <w:color w:val="auto"/>
        </w:rPr>
      </w:pPr>
    </w:p>
    <w:p>
      <w:pPr>
        <w:ind w:left="992" w:right="3460" w:hanging="895"/>
        <w:spacing w:after="0" w:line="500" w:lineRule="auto"/>
        <w:tabs>
          <w:tab w:leader="none" w:pos="9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7,500,431</w:t>
      </w:r>
    </w:p>
    <w:p>
      <w:pPr>
        <w:spacing w:after="0" w:line="1" w:lineRule="exact"/>
        <w:rPr>
          <w:rFonts w:ascii="Times New Roman" w:cs="Times New Roman" w:eastAsia="Times New Roman" w:hAnsi="Times New Roman"/>
          <w:sz w:val="18"/>
          <w:szCs w:val="18"/>
          <w:color w:val="auto"/>
        </w:rPr>
      </w:pPr>
    </w:p>
    <w:p>
      <w:pPr>
        <w:ind w:left="992" w:hanging="895"/>
        <w:spacing w:after="0"/>
        <w:tabs>
          <w:tab w:leader="none" w:pos="9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[_]</w:t>
      </w:r>
    </w:p>
    <w:p>
      <w:pPr>
        <w:spacing w:after="0" w:line="200" w:lineRule="exact"/>
        <w:rPr>
          <w:sz w:val="20"/>
          <w:szCs w:val="20"/>
          <w:color w:val="auto"/>
        </w:rPr>
      </w:pPr>
    </w:p>
    <w:p>
      <w:pPr>
        <w:spacing w:after="0" w:line="223" w:lineRule="exact"/>
        <w:rPr>
          <w:sz w:val="20"/>
          <w:szCs w:val="20"/>
          <w:color w:val="auto"/>
        </w:rPr>
      </w:pPr>
    </w:p>
    <w:p>
      <w:pPr>
        <w:ind w:left="992" w:right="4960" w:hanging="895"/>
        <w:spacing w:after="0" w:line="401" w:lineRule="auto"/>
        <w:tabs>
          <w:tab w:leader="none" w:pos="99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w:t>
      </w:r>
      <w:r>
        <w:rPr>
          <w:rFonts w:ascii="Times New Roman" w:cs="Times New Roman" w:eastAsia="Times New Roman" w:hAnsi="Times New Roman"/>
          <w:sz w:val="29"/>
          <w:szCs w:val="29"/>
          <w:color w:val="auto"/>
          <w:vertAlign w:val="superscript"/>
        </w:rPr>
        <w:t>7</w:t>
      </w:r>
    </w:p>
    <w:p>
      <w:pPr>
        <w:spacing w:after="0" w:line="1" w:lineRule="exact"/>
        <w:rPr>
          <w:sz w:val="20"/>
          <w:szCs w:val="20"/>
          <w:color w:val="auto"/>
        </w:rPr>
      </w:pPr>
    </w:p>
    <w:p>
      <w:pPr>
        <w:ind w:left="992"/>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12.</w:t>
      </w:r>
    </w:p>
    <w:p>
      <w:pPr>
        <w:spacing w:after="0" w:line="9" w:lineRule="exact"/>
        <w:rPr>
          <w:sz w:val="20"/>
          <w:szCs w:val="20"/>
          <w:color w:val="auto"/>
        </w:rPr>
      </w:pPr>
    </w:p>
    <w:p>
      <w:pPr>
        <w:ind w:left="992"/>
        <w:spacing w:after="0"/>
        <w:rPr>
          <w:sz w:val="20"/>
          <w:szCs w:val="20"/>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267335</wp:posOffset>
            </wp:positionV>
            <wp:extent cx="715645"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8" w:firstLine="8"/>
        <w:spacing w:after="0" w:line="195" w:lineRule="auto"/>
        <w:tabs>
          <w:tab w:leader="none" w:pos="112"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percentage of ownership based on 74,998,312 shares of Common Stock of the Company outstanding as of May 7, 2024, as reported on the Issuer’s Form 10-Q filed on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12"/>
          </w:cols>
          <w:pgMar w:left="328" w:top="472" w:right="559" w:bottom="1440" w:gutter="0" w:footer="0" w:header="0"/>
        </w:sectPr>
      </w:pPr>
    </w:p>
    <w:bookmarkStart w:id="8" w:name="page9"/>
    <w:bookmarkEnd w:id="8"/>
    <w:tbl>
      <w:tblPr>
        <w:tblLayout w:type="fixed"/>
        <w:tblInd w:w="92"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21077P108</w:t>
            </w:r>
          </w:p>
        </w:tc>
      </w:tr>
    </w:tbl>
    <w:p>
      <w:pPr>
        <w:spacing w:after="0" w:line="198" w:lineRule="exact"/>
        <w:rPr>
          <w:sz w:val="20"/>
          <w:szCs w:val="20"/>
          <w:color w:val="auto"/>
        </w:rPr>
      </w:pPr>
    </w:p>
    <w:p>
      <w:pPr>
        <w:ind w:left="992" w:hanging="895"/>
        <w:spacing w:after="0"/>
        <w:tabs>
          <w:tab w:leader="none" w:pos="9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992" w:right="4420"/>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Michael Gregory</w:t>
      </w:r>
    </w:p>
    <w:p>
      <w:pPr>
        <w:ind w:left="992" w:hanging="895"/>
        <w:spacing w:after="0"/>
        <w:tabs>
          <w:tab w:leader="none" w:pos="9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(b) [X]</w:t>
      </w:r>
    </w:p>
    <w:p>
      <w:pPr>
        <w:spacing w:after="0" w:line="207" w:lineRule="exact"/>
        <w:rPr>
          <w:sz w:val="20"/>
          <w:szCs w:val="20"/>
          <w:color w:val="auto"/>
        </w:rPr>
      </w:pPr>
    </w:p>
    <w:p>
      <w:pPr>
        <w:ind w:left="992" w:hanging="895"/>
        <w:spacing w:after="0"/>
        <w:tabs>
          <w:tab w:leader="none" w:pos="99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992" w:right="6340" w:hanging="895"/>
        <w:spacing w:after="0" w:line="532" w:lineRule="auto"/>
        <w:tabs>
          <w:tab w:leader="none" w:pos="99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 of America</w:t>
      </w:r>
    </w:p>
    <w:p>
      <w:pPr>
        <w:spacing w:after="0" w:line="378" w:lineRule="exact"/>
        <w:rPr>
          <w:sz w:val="20"/>
          <w:szCs w:val="20"/>
          <w:color w:val="auto"/>
        </w:rPr>
      </w:pPr>
    </w:p>
    <w:p>
      <w:pPr>
        <w:ind w:left="992" w:right="8160" w:hanging="895"/>
        <w:spacing w:after="0" w:line="500" w:lineRule="auto"/>
        <w:tabs>
          <w:tab w:leader="none" w:pos="9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992" w:right="7880" w:hanging="895"/>
        <w:spacing w:after="0" w:line="500" w:lineRule="auto"/>
        <w:tabs>
          <w:tab w:leader="none" w:pos="9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7,500,431</w:t>
      </w:r>
    </w:p>
    <w:p>
      <w:pPr>
        <w:spacing w:after="0" w:line="1" w:lineRule="exact"/>
        <w:rPr>
          <w:rFonts w:ascii="Times New Roman" w:cs="Times New Roman" w:eastAsia="Times New Roman" w:hAnsi="Times New Roman"/>
          <w:sz w:val="18"/>
          <w:szCs w:val="18"/>
          <w:color w:val="auto"/>
        </w:rPr>
      </w:pPr>
    </w:p>
    <w:p>
      <w:pPr>
        <w:ind w:left="992" w:right="7760" w:hanging="895"/>
        <w:spacing w:after="0" w:line="500" w:lineRule="auto"/>
        <w:tabs>
          <w:tab w:leader="none" w:pos="9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992" w:right="7480" w:hanging="895"/>
        <w:spacing w:after="0" w:line="500" w:lineRule="auto"/>
        <w:tabs>
          <w:tab w:leader="none" w:pos="9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7,500,431</w:t>
      </w:r>
    </w:p>
    <w:p>
      <w:pPr>
        <w:spacing w:after="0" w:line="1" w:lineRule="exact"/>
        <w:rPr>
          <w:rFonts w:ascii="Times New Roman" w:cs="Times New Roman" w:eastAsia="Times New Roman" w:hAnsi="Times New Roman"/>
          <w:sz w:val="18"/>
          <w:szCs w:val="18"/>
          <w:color w:val="auto"/>
        </w:rPr>
      </w:pPr>
    </w:p>
    <w:p>
      <w:pPr>
        <w:ind w:left="992" w:right="3460" w:hanging="895"/>
        <w:spacing w:after="0" w:line="500" w:lineRule="auto"/>
        <w:tabs>
          <w:tab w:leader="none" w:pos="9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7,500,431</w:t>
      </w:r>
    </w:p>
    <w:p>
      <w:pPr>
        <w:spacing w:after="0" w:line="1" w:lineRule="exact"/>
        <w:rPr>
          <w:rFonts w:ascii="Times New Roman" w:cs="Times New Roman" w:eastAsia="Times New Roman" w:hAnsi="Times New Roman"/>
          <w:sz w:val="18"/>
          <w:szCs w:val="18"/>
          <w:color w:val="auto"/>
        </w:rPr>
      </w:pPr>
    </w:p>
    <w:p>
      <w:pPr>
        <w:ind w:left="992" w:hanging="895"/>
        <w:spacing w:after="0"/>
        <w:tabs>
          <w:tab w:leader="none" w:pos="9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7" w:lineRule="exact"/>
        <w:rPr>
          <w:sz w:val="20"/>
          <w:szCs w:val="20"/>
          <w:color w:val="auto"/>
        </w:rPr>
      </w:pPr>
    </w:p>
    <w:p>
      <w:pPr>
        <w:ind w:left="10212"/>
        <w:spacing w:after="0"/>
        <w:rPr>
          <w:sz w:val="20"/>
          <w:szCs w:val="20"/>
          <w:color w:val="auto"/>
        </w:rPr>
      </w:pPr>
      <w:r>
        <w:rPr>
          <w:rFonts w:ascii="Times New Roman" w:cs="Times New Roman" w:eastAsia="Times New Roman" w:hAnsi="Times New Roman"/>
          <w:sz w:val="18"/>
          <w:szCs w:val="18"/>
          <w:color w:val="auto"/>
        </w:rPr>
        <w:t>[_]</w:t>
      </w:r>
    </w:p>
    <w:p>
      <w:pPr>
        <w:spacing w:after="0" w:line="200" w:lineRule="exact"/>
        <w:rPr>
          <w:sz w:val="20"/>
          <w:szCs w:val="20"/>
          <w:color w:val="auto"/>
        </w:rPr>
      </w:pPr>
    </w:p>
    <w:p>
      <w:pPr>
        <w:spacing w:after="0" w:line="223" w:lineRule="exact"/>
        <w:rPr>
          <w:sz w:val="20"/>
          <w:szCs w:val="20"/>
          <w:color w:val="auto"/>
        </w:rPr>
      </w:pPr>
    </w:p>
    <w:p>
      <w:pPr>
        <w:ind w:left="992" w:right="4960" w:hanging="895"/>
        <w:spacing w:after="0" w:line="401" w:lineRule="auto"/>
        <w:tabs>
          <w:tab w:leader="none" w:pos="99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w:t>
      </w:r>
      <w:r>
        <w:rPr>
          <w:rFonts w:ascii="Times New Roman" w:cs="Times New Roman" w:eastAsia="Times New Roman" w:hAnsi="Times New Roman"/>
          <w:sz w:val="29"/>
          <w:szCs w:val="29"/>
          <w:color w:val="auto"/>
          <w:vertAlign w:val="superscript"/>
        </w:rPr>
        <w:t>8</w:t>
      </w:r>
    </w:p>
    <w:p>
      <w:pPr>
        <w:spacing w:after="0" w:line="1" w:lineRule="exact"/>
        <w:rPr>
          <w:sz w:val="20"/>
          <w:szCs w:val="20"/>
          <w:color w:val="auto"/>
        </w:rPr>
      </w:pPr>
    </w:p>
    <w:p>
      <w:pPr>
        <w:ind w:left="992"/>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92"/>
        <w:spacing w:after="0"/>
        <w:rPr>
          <w:sz w:val="20"/>
          <w:szCs w:val="20"/>
          <w:color w:val="auto"/>
        </w:rPr>
      </w:pPr>
      <w:r>
        <w:rPr>
          <w:rFonts w:ascii="Times New Roman" w:cs="Times New Roman" w:eastAsia="Times New Roman" w:hAnsi="Times New Roman"/>
          <w:sz w:val="18"/>
          <w:szCs w:val="18"/>
          <w:color w:val="auto"/>
        </w:rPr>
        <w:t>12.</w:t>
      </w:r>
    </w:p>
    <w:p>
      <w:pPr>
        <w:spacing w:after="0" w:line="9" w:lineRule="exact"/>
        <w:rPr>
          <w:sz w:val="20"/>
          <w:szCs w:val="20"/>
          <w:color w:val="auto"/>
        </w:rPr>
      </w:pPr>
    </w:p>
    <w:p>
      <w:pPr>
        <w:ind w:left="992"/>
        <w:spacing w:after="0"/>
        <w:rPr>
          <w:sz w:val="20"/>
          <w:szCs w:val="20"/>
          <w:color w:val="auto"/>
        </w:rPr>
      </w:pPr>
      <w:r>
        <w:rPr>
          <w:rFonts w:ascii="Times New Roman" w:cs="Times New Roman" w:eastAsia="Times New Roman" w:hAnsi="Times New Roman"/>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15645"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349" w:lineRule="exact"/>
        <w:rPr>
          <w:sz w:val="20"/>
          <w:szCs w:val="20"/>
          <w:color w:val="auto"/>
        </w:rPr>
      </w:pPr>
    </w:p>
    <w:p>
      <w:pPr>
        <w:ind w:left="-8" w:firstLine="8"/>
        <w:spacing w:after="0" w:line="195" w:lineRule="auto"/>
        <w:tabs>
          <w:tab w:leader="none" w:pos="112"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percentage of ownership based on 74,998,312 shares of Common Stock of the Company outstanding as of May 7, 2024, as reported on the Issuer’s Form 10-Q filed on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12"/>
          </w:cols>
          <w:pgMar w:left="328" w:top="472" w:right="5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 of Issuer:</w:t>
            </w:r>
          </w:p>
        </w:tc>
        <w:tc>
          <w:tcPr>
            <w:tcW w:w="112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Context Therapeutics Inc.</w:t>
            </w:r>
          </w:p>
        </w:tc>
        <w:tc>
          <w:tcPr>
            <w:tcW w:w="1120" w:type="dxa"/>
            <w:vAlign w:val="bottom"/>
          </w:tcPr>
          <w:p>
            <w:pPr>
              <w:spacing w:after="0"/>
              <w:rPr>
                <w:sz w:val="24"/>
                <w:szCs w:val="24"/>
                <w:color w:val="auto"/>
              </w:rPr>
            </w:pPr>
          </w:p>
        </w:tc>
      </w:tr>
      <w:tr>
        <w:trPr>
          <w:trHeight w:val="426"/>
        </w:trPr>
        <w:tc>
          <w:tcPr>
            <w:tcW w:w="82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1120" w:type="dxa"/>
            <w:vAlign w:val="bottom"/>
          </w:tcPr>
          <w:p>
            <w:pPr>
              <w:spacing w:after="0"/>
              <w:rPr>
                <w:sz w:val="24"/>
                <w:szCs w:val="24"/>
                <w:color w:val="auto"/>
              </w:rPr>
            </w:pPr>
          </w:p>
        </w:tc>
      </w:tr>
      <w:tr>
        <w:trPr>
          <w:trHeight w:val="427"/>
        </w:trPr>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2001 Market Street, Suite 3915, Unit #15</w:t>
            </w:r>
          </w:p>
        </w:tc>
        <w:tc>
          <w:tcPr>
            <w:tcW w:w="112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Philadelphia, Pennsylvania 19103</w:t>
            </w:r>
          </w:p>
        </w:tc>
        <w:tc>
          <w:tcPr>
            <w:tcW w:w="1120" w:type="dxa"/>
            <w:vAlign w:val="bottom"/>
          </w:tcPr>
          <w:p>
            <w:pPr>
              <w:spacing w:after="0"/>
              <w:rPr>
                <w:sz w:val="18"/>
                <w:szCs w:val="18"/>
                <w:color w:val="auto"/>
              </w:rPr>
            </w:pPr>
          </w:p>
        </w:tc>
      </w:tr>
      <w:tr>
        <w:trPr>
          <w:trHeight w:val="241"/>
        </w:trPr>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20"/>
                <w:szCs w:val="20"/>
                <w:color w:val="auto"/>
              </w:rPr>
            </w:pPr>
          </w:p>
        </w:tc>
      </w:tr>
      <w:tr>
        <w:trPr>
          <w:trHeight w:val="432"/>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 of person filing:</w:t>
            </w:r>
          </w:p>
        </w:tc>
        <w:tc>
          <w:tcPr>
            <w:tcW w:w="1120" w:type="dxa"/>
            <w:vAlign w:val="bottom"/>
          </w:tcPr>
          <w:p>
            <w:pPr>
              <w:spacing w:after="0"/>
              <w:rPr>
                <w:sz w:val="24"/>
                <w:szCs w:val="24"/>
                <w:color w:val="auto"/>
              </w:rPr>
            </w:pPr>
          </w:p>
        </w:tc>
      </w:tr>
      <w:tr>
        <w:trPr>
          <w:trHeight w:val="427"/>
        </w:trPr>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Partners Management LP</w:t>
            </w:r>
          </w:p>
        </w:tc>
        <w:tc>
          <w:tcPr>
            <w:tcW w:w="112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Partners Management (GP) LLC</w:t>
            </w:r>
          </w:p>
        </w:tc>
        <w:tc>
          <w:tcPr>
            <w:tcW w:w="1120" w:type="dxa"/>
            <w:vAlign w:val="bottom"/>
          </w:tcPr>
          <w:p>
            <w:pPr>
              <w:spacing w:after="0"/>
              <w:rPr>
                <w:sz w:val="18"/>
                <w:szCs w:val="18"/>
                <w:color w:val="auto"/>
              </w:rPr>
            </w:pPr>
          </w:p>
        </w:tc>
      </w:tr>
      <w:tr>
        <w:trPr>
          <w:trHeight w:val="230"/>
        </w:trPr>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Capital Partners Fund (GP) LP</w:t>
            </w:r>
          </w:p>
        </w:tc>
        <w:tc>
          <w:tcPr>
            <w:tcW w:w="1120" w:type="dxa"/>
            <w:vAlign w:val="bottom"/>
          </w:tcPr>
          <w:p>
            <w:pPr>
              <w:spacing w:after="0"/>
              <w:rPr>
                <w:sz w:val="19"/>
                <w:szCs w:val="19"/>
                <w:color w:val="auto"/>
              </w:rPr>
            </w:pPr>
          </w:p>
        </w:tc>
      </w:tr>
      <w:tr>
        <w:trPr>
          <w:trHeight w:val="229"/>
        </w:trPr>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Capital Partners (GP) LLC</w:t>
            </w:r>
          </w:p>
        </w:tc>
        <w:tc>
          <w:tcPr>
            <w:tcW w:w="112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Master Fund LP</w:t>
            </w:r>
          </w:p>
        </w:tc>
        <w:tc>
          <w:tcPr>
            <w:tcW w:w="1120" w:type="dxa"/>
            <w:vAlign w:val="bottom"/>
          </w:tcPr>
          <w:p>
            <w:pPr>
              <w:spacing w:after="0"/>
              <w:rPr>
                <w:sz w:val="19"/>
                <w:szCs w:val="19"/>
                <w:color w:val="auto"/>
              </w:rPr>
            </w:pPr>
          </w:p>
        </w:tc>
      </w:tr>
      <w:tr>
        <w:trPr>
          <w:trHeight w:val="216"/>
        </w:trPr>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Private Master Fund I LP</w:t>
            </w:r>
          </w:p>
        </w:tc>
        <w:tc>
          <w:tcPr>
            <w:tcW w:w="11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David Witzke</w:t>
            </w:r>
          </w:p>
        </w:tc>
        <w:tc>
          <w:tcPr>
            <w:tcW w:w="112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Gregory</w:t>
            </w:r>
          </w:p>
        </w:tc>
        <w:tc>
          <w:tcPr>
            <w:tcW w:w="1120" w:type="dxa"/>
            <w:vAlign w:val="bottom"/>
          </w:tcPr>
          <w:p>
            <w:pPr>
              <w:spacing w:after="0"/>
              <w:rPr>
                <w:sz w:val="20"/>
                <w:szCs w:val="20"/>
                <w:color w:val="auto"/>
              </w:rPr>
            </w:pPr>
          </w:p>
        </w:tc>
      </w:tr>
      <w:tr>
        <w:trPr>
          <w:trHeight w:val="426"/>
        </w:trPr>
        <w:tc>
          <w:tcPr>
            <w:tcW w:w="82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Address or principal business office or, if none, residence:</w:t>
            </w:r>
          </w:p>
        </w:tc>
        <w:tc>
          <w:tcPr>
            <w:tcW w:w="1120" w:type="dxa"/>
            <w:vAlign w:val="bottom"/>
          </w:tcPr>
          <w:p>
            <w:pPr>
              <w:spacing w:after="0"/>
              <w:rPr>
                <w:sz w:val="24"/>
                <w:szCs w:val="24"/>
                <w:color w:val="auto"/>
              </w:rPr>
            </w:pPr>
          </w:p>
        </w:tc>
      </w:tr>
      <w:tr>
        <w:trPr>
          <w:trHeight w:val="427"/>
        </w:trPr>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Partners Management LP</w:t>
            </w:r>
          </w:p>
        </w:tc>
        <w:tc>
          <w:tcPr>
            <w:tcW w:w="112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2828 N Harwood Street, Suite 1220</w:t>
            </w:r>
          </w:p>
        </w:tc>
        <w:tc>
          <w:tcPr>
            <w:tcW w:w="1120" w:type="dxa"/>
            <w:vAlign w:val="bottom"/>
          </w:tcPr>
          <w:p>
            <w:pPr>
              <w:spacing w:after="0"/>
              <w:rPr>
                <w:sz w:val="18"/>
                <w:szCs w:val="18"/>
                <w:color w:val="auto"/>
              </w:rPr>
            </w:pPr>
          </w:p>
        </w:tc>
      </w:tr>
      <w:tr>
        <w:trPr>
          <w:trHeight w:val="230"/>
        </w:trPr>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Dallas, Texas 75201</w:t>
            </w:r>
          </w:p>
        </w:tc>
        <w:tc>
          <w:tcPr>
            <w:tcW w:w="1120" w:type="dxa"/>
            <w:vAlign w:val="bottom"/>
          </w:tcPr>
          <w:p>
            <w:pPr>
              <w:spacing w:after="0"/>
              <w:rPr>
                <w:sz w:val="19"/>
                <w:szCs w:val="19"/>
                <w:color w:val="auto"/>
              </w:rPr>
            </w:pPr>
          </w:p>
        </w:tc>
      </w:tr>
      <w:tr>
        <w:trPr>
          <w:trHeight w:val="234"/>
        </w:trPr>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20"/>
                <w:szCs w:val="20"/>
                <w:color w:val="auto"/>
              </w:rPr>
            </w:pPr>
          </w:p>
        </w:tc>
      </w:tr>
      <w:tr>
        <w:trPr>
          <w:trHeight w:val="441"/>
        </w:trPr>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Partners Management (GP) LLC</w:t>
            </w:r>
          </w:p>
        </w:tc>
        <w:tc>
          <w:tcPr>
            <w:tcW w:w="1120" w:type="dxa"/>
            <w:vAlign w:val="bottom"/>
          </w:tcPr>
          <w:p>
            <w:pPr>
              <w:spacing w:after="0"/>
              <w:rPr>
                <w:sz w:val="24"/>
                <w:szCs w:val="24"/>
                <w:color w:val="auto"/>
              </w:rPr>
            </w:pPr>
          </w:p>
        </w:tc>
      </w:tr>
      <w:tr>
        <w:trPr>
          <w:trHeight w:val="230"/>
        </w:trPr>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2828 N Harwood Street, Suite 1220</w:t>
            </w:r>
          </w:p>
        </w:tc>
        <w:tc>
          <w:tcPr>
            <w:tcW w:w="112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Dallas, Texas 75201</w:t>
            </w:r>
          </w:p>
        </w:tc>
        <w:tc>
          <w:tcPr>
            <w:tcW w:w="1120" w:type="dxa"/>
            <w:vAlign w:val="bottom"/>
          </w:tcPr>
          <w:p>
            <w:pPr>
              <w:spacing w:after="0"/>
              <w:rPr>
                <w:sz w:val="19"/>
                <w:szCs w:val="19"/>
                <w:color w:val="auto"/>
              </w:rPr>
            </w:pPr>
          </w:p>
        </w:tc>
      </w:tr>
      <w:tr>
        <w:trPr>
          <w:trHeight w:val="234"/>
        </w:trPr>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20"/>
                <w:szCs w:val="20"/>
                <w:color w:val="auto"/>
              </w:rPr>
            </w:pPr>
          </w:p>
        </w:tc>
      </w:tr>
      <w:tr>
        <w:trPr>
          <w:trHeight w:val="441"/>
        </w:trPr>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Capital Partners Fund (GP) LP</w:t>
            </w:r>
          </w:p>
        </w:tc>
        <w:tc>
          <w:tcPr>
            <w:tcW w:w="1120" w:type="dxa"/>
            <w:vAlign w:val="bottom"/>
          </w:tcPr>
          <w:p>
            <w:pPr>
              <w:spacing w:after="0"/>
              <w:rPr>
                <w:sz w:val="24"/>
                <w:szCs w:val="24"/>
                <w:color w:val="auto"/>
              </w:rPr>
            </w:pPr>
          </w:p>
        </w:tc>
      </w:tr>
      <w:tr>
        <w:trPr>
          <w:trHeight w:val="230"/>
        </w:trPr>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2828 N Harwood Street, Suite 1220</w:t>
            </w:r>
          </w:p>
        </w:tc>
        <w:tc>
          <w:tcPr>
            <w:tcW w:w="1120" w:type="dxa"/>
            <w:vAlign w:val="bottom"/>
          </w:tcPr>
          <w:p>
            <w:pPr>
              <w:spacing w:after="0"/>
              <w:rPr>
                <w:sz w:val="19"/>
                <w:szCs w:val="19"/>
                <w:color w:val="auto"/>
              </w:rPr>
            </w:pPr>
          </w:p>
        </w:tc>
      </w:tr>
      <w:tr>
        <w:trPr>
          <w:trHeight w:val="216"/>
        </w:trPr>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Dallas, Texas 75201</w:t>
            </w:r>
          </w:p>
        </w:tc>
        <w:tc>
          <w:tcPr>
            <w:tcW w:w="112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20"/>
                <w:szCs w:val="20"/>
                <w:color w:val="auto"/>
              </w:rPr>
            </w:pPr>
          </w:p>
        </w:tc>
      </w:tr>
      <w:tr>
        <w:trPr>
          <w:trHeight w:val="454"/>
        </w:trPr>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Capital Partners (GP) LLC</w:t>
            </w:r>
          </w:p>
        </w:tc>
        <w:tc>
          <w:tcPr>
            <w:tcW w:w="112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2828 N Harwood Street, Suite 1220</w:t>
            </w:r>
          </w:p>
        </w:tc>
        <w:tc>
          <w:tcPr>
            <w:tcW w:w="1120" w:type="dxa"/>
            <w:vAlign w:val="bottom"/>
          </w:tcPr>
          <w:p>
            <w:pPr>
              <w:spacing w:after="0"/>
              <w:rPr>
                <w:sz w:val="18"/>
                <w:szCs w:val="18"/>
                <w:color w:val="auto"/>
              </w:rPr>
            </w:pPr>
          </w:p>
        </w:tc>
      </w:tr>
      <w:tr>
        <w:trPr>
          <w:trHeight w:val="229"/>
        </w:trPr>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Dallas, Texas 75201</w:t>
            </w:r>
          </w:p>
        </w:tc>
        <w:tc>
          <w:tcPr>
            <w:tcW w:w="1120" w:type="dxa"/>
            <w:vAlign w:val="bottom"/>
          </w:tcPr>
          <w:p>
            <w:pPr>
              <w:spacing w:after="0"/>
              <w:rPr>
                <w:sz w:val="19"/>
                <w:szCs w:val="19"/>
                <w:color w:val="auto"/>
              </w:rPr>
            </w:pPr>
          </w:p>
        </w:tc>
      </w:tr>
      <w:tr>
        <w:trPr>
          <w:trHeight w:val="234"/>
        </w:trPr>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20"/>
                <w:szCs w:val="20"/>
                <w:color w:val="auto"/>
              </w:rPr>
            </w:pPr>
          </w:p>
        </w:tc>
      </w:tr>
      <w:tr>
        <w:trPr>
          <w:trHeight w:val="441"/>
        </w:trPr>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Master Fund LP</w:t>
            </w:r>
          </w:p>
        </w:tc>
        <w:tc>
          <w:tcPr>
            <w:tcW w:w="1120" w:type="dxa"/>
            <w:vAlign w:val="bottom"/>
          </w:tcPr>
          <w:p>
            <w:pPr>
              <w:spacing w:after="0"/>
              <w:rPr>
                <w:sz w:val="24"/>
                <w:szCs w:val="24"/>
                <w:color w:val="auto"/>
              </w:rPr>
            </w:pPr>
          </w:p>
        </w:tc>
      </w:tr>
      <w:tr>
        <w:trPr>
          <w:trHeight w:val="230"/>
        </w:trPr>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2828 N Harwood Street, Suite 1220</w:t>
            </w:r>
          </w:p>
        </w:tc>
        <w:tc>
          <w:tcPr>
            <w:tcW w:w="112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Dallas, Texas 75201</w:t>
            </w:r>
          </w:p>
        </w:tc>
        <w:tc>
          <w:tcPr>
            <w:tcW w:w="1120" w:type="dxa"/>
            <w:vAlign w:val="bottom"/>
          </w:tcPr>
          <w:p>
            <w:pPr>
              <w:spacing w:after="0"/>
              <w:rPr>
                <w:sz w:val="19"/>
                <w:szCs w:val="19"/>
                <w:color w:val="auto"/>
              </w:rPr>
            </w:pPr>
          </w:p>
        </w:tc>
      </w:tr>
      <w:tr>
        <w:trPr>
          <w:trHeight w:val="234"/>
        </w:trPr>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20"/>
                <w:szCs w:val="20"/>
                <w:color w:val="auto"/>
              </w:rPr>
            </w:pPr>
          </w:p>
        </w:tc>
      </w:tr>
      <w:tr>
        <w:trPr>
          <w:trHeight w:val="441"/>
        </w:trPr>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Private Master Fund I LP</w:t>
            </w:r>
          </w:p>
        </w:tc>
        <w:tc>
          <w:tcPr>
            <w:tcW w:w="112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2828 N Harwood Street, Suite 1220</w:t>
            </w:r>
          </w:p>
        </w:tc>
        <w:tc>
          <w:tcPr>
            <w:tcW w:w="1120" w:type="dxa"/>
            <w:vAlign w:val="bottom"/>
          </w:tcPr>
          <w:p>
            <w:pPr>
              <w:spacing w:after="0"/>
              <w:rPr>
                <w:sz w:val="18"/>
                <w:szCs w:val="18"/>
                <w:color w:val="auto"/>
              </w:rPr>
            </w:pPr>
          </w:p>
        </w:tc>
      </w:tr>
      <w:tr>
        <w:trPr>
          <w:trHeight w:val="229"/>
        </w:trPr>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Dallas, Texas 75201</w:t>
            </w:r>
          </w:p>
        </w:tc>
        <w:tc>
          <w:tcPr>
            <w:tcW w:w="1120" w:type="dxa"/>
            <w:vAlign w:val="bottom"/>
          </w:tcPr>
          <w:p>
            <w:pPr>
              <w:spacing w:after="0"/>
              <w:rPr>
                <w:sz w:val="19"/>
                <w:szCs w:val="19"/>
                <w:color w:val="auto"/>
              </w:rPr>
            </w:pPr>
          </w:p>
        </w:tc>
      </w:tr>
      <w:tr>
        <w:trPr>
          <w:trHeight w:val="234"/>
        </w:trPr>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20"/>
                <w:szCs w:val="20"/>
                <w:color w:val="auto"/>
              </w:rPr>
            </w:pPr>
          </w:p>
        </w:tc>
      </w:tr>
      <w:tr>
        <w:trPr>
          <w:trHeight w:val="454"/>
        </w:trPr>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David Witzke</w:t>
            </w:r>
          </w:p>
        </w:tc>
        <w:tc>
          <w:tcPr>
            <w:tcW w:w="112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 Avidity Partners Management LP</w:t>
            </w:r>
          </w:p>
        </w:tc>
        <w:tc>
          <w:tcPr>
            <w:tcW w:w="1120" w:type="dxa"/>
            <w:vAlign w:val="bottom"/>
          </w:tcPr>
          <w:p>
            <w:pPr>
              <w:spacing w:after="0"/>
              <w:rPr>
                <w:sz w:val="18"/>
                <w:szCs w:val="18"/>
                <w:color w:val="auto"/>
              </w:rPr>
            </w:pPr>
          </w:p>
        </w:tc>
      </w:tr>
      <w:tr>
        <w:trPr>
          <w:trHeight w:val="229"/>
        </w:trPr>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2828 N Harwood Street, Suite 1220</w:t>
            </w:r>
          </w:p>
        </w:tc>
        <w:tc>
          <w:tcPr>
            <w:tcW w:w="1120" w:type="dxa"/>
            <w:vAlign w:val="bottom"/>
          </w:tcPr>
          <w:p>
            <w:pPr>
              <w:spacing w:after="0"/>
              <w:rPr>
                <w:sz w:val="19"/>
                <w:szCs w:val="19"/>
                <w:color w:val="auto"/>
              </w:rPr>
            </w:pPr>
          </w:p>
        </w:tc>
      </w:tr>
      <w:tr>
        <w:trPr>
          <w:trHeight w:val="230"/>
        </w:trPr>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Dallas, Texas 75201</w:t>
            </w:r>
          </w:p>
        </w:tc>
        <w:tc>
          <w:tcPr>
            <w:tcW w:w="1120" w:type="dxa"/>
            <w:vAlign w:val="bottom"/>
          </w:tcPr>
          <w:p>
            <w:pPr>
              <w:spacing w:after="0"/>
              <w:rPr>
                <w:sz w:val="19"/>
                <w:szCs w:val="19"/>
                <w:color w:val="auto"/>
              </w:rPr>
            </w:pPr>
          </w:p>
        </w:tc>
      </w:tr>
      <w:tr>
        <w:trPr>
          <w:trHeight w:val="234"/>
        </w:trPr>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20"/>
                <w:szCs w:val="20"/>
                <w:color w:val="auto"/>
              </w:rPr>
            </w:pPr>
          </w:p>
        </w:tc>
      </w:tr>
      <w:tr>
        <w:trPr>
          <w:trHeight w:val="441"/>
        </w:trPr>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Michael Gregory</w:t>
            </w:r>
          </w:p>
        </w:tc>
        <w:tc>
          <w:tcPr>
            <w:tcW w:w="1120" w:type="dxa"/>
            <w:vAlign w:val="bottom"/>
          </w:tcPr>
          <w:p>
            <w:pPr>
              <w:spacing w:after="0"/>
              <w:rPr>
                <w:sz w:val="24"/>
                <w:szCs w:val="24"/>
                <w:color w:val="auto"/>
              </w:rPr>
            </w:pPr>
          </w:p>
        </w:tc>
      </w:tr>
      <w:tr>
        <w:trPr>
          <w:trHeight w:val="230"/>
        </w:trPr>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 Avidity Partners Management LP</w:t>
            </w:r>
          </w:p>
        </w:tc>
        <w:tc>
          <w:tcPr>
            <w:tcW w:w="1120" w:type="dxa"/>
            <w:vAlign w:val="bottom"/>
          </w:tcPr>
          <w:p>
            <w:pPr>
              <w:spacing w:after="0"/>
              <w:rPr>
                <w:sz w:val="19"/>
                <w:szCs w:val="19"/>
                <w:color w:val="auto"/>
              </w:rPr>
            </w:pPr>
          </w:p>
        </w:tc>
      </w:tr>
      <w:tr>
        <w:trPr>
          <w:trHeight w:val="216"/>
        </w:trPr>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2828 N Harwood Street, Suite 1220</w:t>
            </w:r>
          </w:p>
        </w:tc>
        <w:tc>
          <w:tcPr>
            <w:tcW w:w="1120" w:type="dxa"/>
            <w:vAlign w:val="bottom"/>
          </w:tcPr>
          <w:p>
            <w:pPr>
              <w:spacing w:after="0"/>
              <w:rPr>
                <w:sz w:val="18"/>
                <w:szCs w:val="18"/>
                <w:color w:val="auto"/>
              </w:rPr>
            </w:pPr>
          </w:p>
        </w:tc>
      </w:tr>
      <w:tr>
        <w:trPr>
          <w:trHeight w:val="229"/>
        </w:trPr>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Dallas, Texas 75201</w:t>
            </w:r>
          </w:p>
        </w:tc>
        <w:tc>
          <w:tcPr>
            <w:tcW w:w="1120" w:type="dxa"/>
            <w:vAlign w:val="bottom"/>
          </w:tcPr>
          <w:p>
            <w:pPr>
              <w:spacing w:after="0"/>
              <w:rPr>
                <w:sz w:val="19"/>
                <w:szCs w:val="19"/>
                <w:color w:val="auto"/>
              </w:rPr>
            </w:pPr>
          </w:p>
        </w:tc>
      </w:tr>
      <w:tr>
        <w:trPr>
          <w:trHeight w:val="241"/>
        </w:trPr>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20" w:type="dxa"/>
            <w:vAlign w:val="bottom"/>
          </w:tcPr>
          <w:p>
            <w:pPr>
              <w:spacing w:after="0"/>
              <w:rPr>
                <w:sz w:val="20"/>
                <w:szCs w:val="20"/>
                <w:color w:val="auto"/>
              </w:rPr>
            </w:pPr>
          </w:p>
        </w:tc>
      </w:tr>
      <w:tr>
        <w:trPr>
          <w:trHeight w:val="473"/>
        </w:trPr>
        <w:tc>
          <w:tcPr>
            <w:tcW w:w="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717" w:gutter="0" w:footer="0" w:header="0"/>
        </w:sectPr>
      </w:pPr>
    </w:p>
    <w:bookmarkStart w:id="10" w:name="page11"/>
    <w:bookmarkEnd w:id="10"/>
    <w:p>
      <w:pPr>
        <w:ind w:left="900"/>
        <w:spacing w:after="0"/>
        <w:tabs>
          <w:tab w:leader="none" w:pos="156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Citizenship:</w:t>
      </w:r>
    </w:p>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Avidity Partners Management LP– Delaware</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Avidity Partners Management (GP) LLC – Delaware</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Avidity Capital Partners Fund (GP) LP – Delaware</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Avidity Capital Partners (GP) LLC – Delaware</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Avidity Master Fund LP – Cayman Islands</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Avidity Private Master Fund I LP – Cayman Islands</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David Witzke – United States of America</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Michael Gregory –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5715</wp:posOffset>
            </wp:positionV>
            <wp:extent cx="54178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0" w:lineRule="exact"/>
        <w:rPr>
          <w:sz w:val="20"/>
          <w:szCs w:val="20"/>
          <w:color w:val="auto"/>
        </w:rPr>
      </w:pPr>
    </w:p>
    <w:p>
      <w:pPr>
        <w:ind w:left="900"/>
        <w:spacing w:after="0"/>
        <w:tabs>
          <w:tab w:leader="none" w:pos="156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Title of class of securities:</w:t>
      </w:r>
    </w:p>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163195</wp:posOffset>
            </wp:positionV>
            <wp:extent cx="54178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00"/>
        <w:spacing w:after="0"/>
        <w:tabs>
          <w:tab w:leader="none" w:pos="1560" w:val="left"/>
        </w:tabs>
        <w:rPr>
          <w:sz w:val="20"/>
          <w:szCs w:val="20"/>
          <w:color w:val="auto"/>
        </w:rPr>
      </w:pPr>
      <w:r>
        <w:rPr>
          <w:rFonts w:ascii="Times New Roman" w:cs="Times New Roman" w:eastAsia="Times New Roman" w:hAnsi="Times New Roman"/>
          <w:sz w:val="18"/>
          <w:szCs w:val="18"/>
          <w:color w:val="auto"/>
        </w:rPr>
        <w:t>(e).</w:t>
      </w:r>
      <w:r>
        <w:rPr>
          <w:sz w:val="20"/>
          <w:szCs w:val="20"/>
          <w:color w:val="auto"/>
        </w:rPr>
        <w:tab/>
      </w:r>
      <w:r>
        <w:rPr>
          <w:rFonts w:ascii="Times New Roman" w:cs="Times New Roman" w:eastAsia="Times New Roman" w:hAnsi="Times New Roman"/>
          <w:sz w:val="18"/>
          <w:szCs w:val="18"/>
          <w:color w:val="auto"/>
        </w:rPr>
        <w:t>CUSIP No.:</w:t>
      </w:r>
    </w:p>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21077P108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17145</wp:posOffset>
            </wp:positionV>
            <wp:extent cx="54178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178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color w:val="auto"/>
        </w:rPr>
        <w:t>If This Statement is filed pursuant to §§.240.13d-1(b) or 240.13d-2(b), or (c), check whether the person filing is a</w:t>
      </w:r>
    </w:p>
    <w:p>
      <w:pPr>
        <w:spacing w:after="0" w:line="225" w:lineRule="exact"/>
        <w:rPr>
          <w:sz w:val="20"/>
          <w:szCs w:val="20"/>
          <w:color w:val="auto"/>
        </w:rPr>
      </w:pPr>
    </w:p>
    <w:p>
      <w:pPr>
        <w:ind w:left="1580" w:hanging="670"/>
        <w:spacing w:after="0"/>
        <w:tabs>
          <w:tab w:leader="none" w:pos="1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 savings association as defined in Section 3(b) of the Federal Deposit Insurance Act (12 U.S.C.1813);</w:t>
      </w:r>
    </w:p>
    <w:p>
      <w:pPr>
        <w:spacing w:after="0" w:line="225" w:lineRule="exact"/>
        <w:rPr>
          <w:rFonts w:ascii="Times New Roman" w:cs="Times New Roman" w:eastAsia="Times New Roman" w:hAnsi="Times New Roman"/>
          <w:sz w:val="18"/>
          <w:szCs w:val="18"/>
          <w:color w:val="auto"/>
        </w:rPr>
      </w:pPr>
    </w:p>
    <w:p>
      <w:pPr>
        <w:ind w:left="2160" w:hanging="1250"/>
        <w:spacing w:after="0" w:line="282" w:lineRule="auto"/>
        <w:tabs>
          <w:tab w:leader="none" w:pos="159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church plan that is excluded from the definition of an investment company under section 3(c)(14) of the Investment Company Act of 1940 (15 U.S.C. 80a-3);</w:t>
      </w:r>
    </w:p>
    <w:p>
      <w:pPr>
        <w:spacing w:after="0" w:line="161" w:lineRule="exact"/>
        <w:rPr>
          <w:rFonts w:ascii="Times New Roman" w:cs="Times New Roman" w:eastAsia="Times New Roman" w:hAnsi="Times New Roman"/>
          <w:sz w:val="18"/>
          <w:szCs w:val="18"/>
          <w:color w:val="auto"/>
        </w:rPr>
      </w:pPr>
    </w:p>
    <w:p>
      <w:pPr>
        <w:ind w:left="1580" w:hanging="670"/>
        <w:spacing w:after="0"/>
        <w:tabs>
          <w:tab w:leader="none" w:pos="15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 non-U.S. institution in accordance with §240.13d-1(b)(1)(ii)(J);</w:t>
      </w:r>
    </w:p>
    <w:p>
      <w:pPr>
        <w:spacing w:after="0" w:line="225" w:lineRule="exact"/>
        <w:rPr>
          <w:rFonts w:ascii="Times New Roman" w:cs="Times New Roman" w:eastAsia="Times New Roman" w:hAnsi="Times New Roman"/>
          <w:sz w:val="18"/>
          <w:szCs w:val="18"/>
          <w:color w:val="auto"/>
        </w:rPr>
      </w:pPr>
    </w:p>
    <w:p>
      <w:pPr>
        <w:ind w:left="2160" w:hanging="1250"/>
        <w:spacing w:after="0" w:line="282" w:lineRule="auto"/>
        <w:tabs>
          <w:tab w:leader="none" w:pos="159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[_]Group, in accordance with §240.13d-1(b)(1)(ii)(K). If filing as a non-U.S. institution in accordance with §240.13d-1(b)(1) (ii)(J),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268605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1120" w:right="439" w:bottom="1440" w:gutter="0" w:footer="0" w:header="0"/>
        </w:sectPr>
      </w:pPr>
    </w:p>
    <w:bookmarkStart w:id="11" w:name="page12"/>
    <w:bookmarkEnd w:id="11"/>
    <w:p>
      <w:pPr>
        <w:ind w:left="100"/>
        <w:spacing w:after="0"/>
        <w:tabs>
          <w:tab w:leader="none" w:pos="11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ind w:left="1120" w:right="100"/>
        <w:spacing w:after="0" w:line="282" w:lineRule="auto"/>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62" w:lineRule="exact"/>
        <w:rPr>
          <w:sz w:val="20"/>
          <w:szCs w:val="20"/>
          <w:color w:val="auto"/>
        </w:rPr>
      </w:pPr>
    </w:p>
    <w:p>
      <w:pPr>
        <w:ind w:left="1680" w:hanging="562"/>
        <w:spacing w:after="0"/>
        <w:tabs>
          <w:tab w:leader="none" w:pos="1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Avidity Partners Management LP: 7,500,431</w:t>
      </w:r>
    </w:p>
    <w:p>
      <w:pPr>
        <w:spacing w:after="0" w:line="27"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Avidity Partners Management (GP) LLC: 7,500,431</w:t>
      </w:r>
    </w:p>
    <w:p>
      <w:pPr>
        <w:spacing w:after="0" w:line="22"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Avidity Capital Partners Fund (GP) LP: 7,500,431</w:t>
      </w:r>
    </w:p>
    <w:p>
      <w:pPr>
        <w:spacing w:after="0" w:line="9"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Avidity Capital Partners (GP) LLC: 7,500,431</w:t>
      </w:r>
    </w:p>
    <w:p>
      <w:pPr>
        <w:spacing w:after="0" w:line="9"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Avidity Master Fund LP: 5,125,800</w:t>
      </w:r>
    </w:p>
    <w:p>
      <w:pPr>
        <w:spacing w:after="0" w:line="9"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Avidity Private Master Fund I LP: 7,776,296</w:t>
      </w:r>
    </w:p>
    <w:p>
      <w:pPr>
        <w:spacing w:after="0" w:line="9"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Witzke: 7,500,431</w:t>
      </w:r>
    </w:p>
    <w:p>
      <w:pPr>
        <w:spacing w:after="0" w:line="9"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Gregory: 7,500,431</w:t>
      </w:r>
    </w:p>
    <w:p>
      <w:pPr>
        <w:spacing w:after="0" w:line="220" w:lineRule="exact"/>
        <w:rPr>
          <w:rFonts w:ascii="Times New Roman" w:cs="Times New Roman" w:eastAsia="Times New Roman" w:hAnsi="Times New Roman"/>
          <w:sz w:val="18"/>
          <w:szCs w:val="18"/>
          <w:color w:val="auto"/>
        </w:rPr>
      </w:pPr>
    </w:p>
    <w:p>
      <w:pPr>
        <w:ind w:left="1680" w:hanging="562"/>
        <w:spacing w:after="0"/>
        <w:tabs>
          <w:tab w:leader="none" w:pos="1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Avidity Partners Management LP: 9.9%</w:t>
      </w:r>
    </w:p>
    <w:p>
      <w:pPr>
        <w:spacing w:after="0" w:line="27"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Avidity Partners Management (GP) LLC: 9.9%</w:t>
      </w:r>
    </w:p>
    <w:p>
      <w:pPr>
        <w:spacing w:after="0" w:line="22"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Avidity Capital Partners Fund (GP) LP: 9.9%</w:t>
      </w:r>
    </w:p>
    <w:p>
      <w:pPr>
        <w:spacing w:after="0" w:line="9"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Avidity Capital Partners (GP) LLC: 9.9%</w:t>
      </w:r>
    </w:p>
    <w:p>
      <w:pPr>
        <w:spacing w:after="0" w:line="22"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Avidity Master Fund LP: 6.6%</w:t>
      </w:r>
    </w:p>
    <w:p>
      <w:pPr>
        <w:spacing w:after="0" w:line="9"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Avidity Private Master Fund I LP: 9.9%</w:t>
      </w:r>
    </w:p>
    <w:p>
      <w:pPr>
        <w:spacing w:after="0" w:line="9"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Witzke: 9.9%</w:t>
      </w:r>
    </w:p>
    <w:p>
      <w:pPr>
        <w:spacing w:after="0" w:line="9" w:lineRule="exact"/>
        <w:rPr>
          <w:rFonts w:ascii="Times New Roman" w:cs="Times New Roman" w:eastAsia="Times New Roman" w:hAnsi="Times New Roman"/>
          <w:sz w:val="18"/>
          <w:szCs w:val="18"/>
          <w:color w:val="auto"/>
        </w:rPr>
      </w:pPr>
    </w:p>
    <w:p>
      <w:pPr>
        <w:ind w:left="1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Gregory: 9.9%</w:t>
      </w:r>
    </w:p>
    <w:p>
      <w:pPr>
        <w:spacing w:after="0" w:line="220" w:lineRule="exact"/>
        <w:rPr>
          <w:rFonts w:ascii="Times New Roman" w:cs="Times New Roman" w:eastAsia="Times New Roman" w:hAnsi="Times New Roman"/>
          <w:sz w:val="18"/>
          <w:szCs w:val="18"/>
          <w:color w:val="auto"/>
        </w:rPr>
      </w:pPr>
    </w:p>
    <w:p>
      <w:pPr>
        <w:ind w:left="1680" w:hanging="562"/>
        <w:spacing w:after="0"/>
        <w:tabs>
          <w:tab w:leader="none" w:pos="1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-1799590</wp:posOffset>
            </wp:positionV>
            <wp:extent cx="61290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-264795</wp:posOffset>
            </wp:positionV>
            <wp:extent cx="61290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(i)</w:t>
            </w: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Partners Management LP: 0</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Partners Management (GP) LLC: 0</w:t>
            </w:r>
          </w:p>
        </w:tc>
      </w:tr>
      <w:tr>
        <w:trPr>
          <w:trHeight w:val="230"/>
        </w:trPr>
        <w:tc>
          <w:tcPr>
            <w:tcW w:w="21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Capital Partners Fund (GP) LP: 0</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Capital Partners (GP) LLC: 0</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Master Fund LP: 0</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Private Master Fund I LP: 0</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David Witzke: 0</w:t>
            </w:r>
          </w:p>
        </w:tc>
      </w:tr>
      <w:tr>
        <w:trPr>
          <w:trHeight w:val="234"/>
        </w:trPr>
        <w:tc>
          <w:tcPr>
            <w:tcW w:w="21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Gregory: 0</w:t>
            </w:r>
          </w:p>
        </w:tc>
      </w:tr>
      <w:tr>
        <w:trPr>
          <w:trHeight w:val="421"/>
        </w:trPr>
        <w:tc>
          <w:tcPr>
            <w:tcW w:w="21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(ii)</w:t>
            </w: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Partners Management LP: 7,500,431</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Partners Management (GP) LLC: 7,500,431</w:t>
            </w:r>
          </w:p>
        </w:tc>
      </w:tr>
      <w:tr>
        <w:trPr>
          <w:trHeight w:val="230"/>
        </w:trPr>
        <w:tc>
          <w:tcPr>
            <w:tcW w:w="21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Capital Partners Fund (GP) LP: 7,500,431</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Capital Partners (GP) LLC: 7,500,431</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Master Fund LP: 5,125,800</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Private Master Fund I LP: 7,776,296</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David Witzke: 7,500,431</w:t>
            </w:r>
          </w:p>
        </w:tc>
      </w:tr>
      <w:tr>
        <w:trPr>
          <w:trHeight w:val="234"/>
        </w:trPr>
        <w:tc>
          <w:tcPr>
            <w:tcW w:w="21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Gregory: 7,500,431</w:t>
            </w:r>
          </w:p>
        </w:tc>
      </w:tr>
      <w:tr>
        <w:trPr>
          <w:trHeight w:val="421"/>
        </w:trPr>
        <w:tc>
          <w:tcPr>
            <w:tcW w:w="21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(iii)</w:t>
            </w: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Partners Management LP: 0</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Partners Management (GP) LLC: 0</w:t>
            </w:r>
          </w:p>
        </w:tc>
      </w:tr>
      <w:tr>
        <w:trPr>
          <w:trHeight w:val="230"/>
        </w:trPr>
        <w:tc>
          <w:tcPr>
            <w:tcW w:w="21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Capital Partners Fund (GP) LP: 0</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Capital Partners (GP) LLC: 0</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Master Fund LP: 0</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Private Master Fund I LP: 0</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David Witzke: 0</w:t>
            </w:r>
          </w:p>
        </w:tc>
      </w:tr>
      <w:tr>
        <w:trPr>
          <w:trHeight w:val="234"/>
        </w:trPr>
        <w:tc>
          <w:tcPr>
            <w:tcW w:w="21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Gregory: 0</w:t>
            </w:r>
          </w:p>
        </w:tc>
      </w:tr>
      <w:tr>
        <w:trPr>
          <w:trHeight w:val="421"/>
        </w:trPr>
        <w:tc>
          <w:tcPr>
            <w:tcW w:w="21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(iv)</w:t>
            </w: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Partners Management LP: 7,500,431</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Partners Management (GP) LLC: 7,500,431</w:t>
            </w:r>
          </w:p>
        </w:tc>
      </w:tr>
      <w:tr>
        <w:trPr>
          <w:trHeight w:val="230"/>
        </w:trPr>
        <w:tc>
          <w:tcPr>
            <w:tcW w:w="21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Capital Partners Fund (GP) LP: 7,500,431</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Capital Partners (GP) LLC: 7,500,431</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Master Fund LP: 5,125,800</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Avidity Private Master Fund I LP: 7,776,296</w:t>
            </w:r>
          </w:p>
        </w:tc>
      </w:tr>
      <w:tr>
        <w:trPr>
          <w:trHeight w:val="216"/>
        </w:trPr>
        <w:tc>
          <w:tcPr>
            <w:tcW w:w="2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David Witzke: 7,500,431</w:t>
            </w:r>
          </w:p>
        </w:tc>
      </w:tr>
      <w:tr>
        <w:trPr>
          <w:trHeight w:val="234"/>
        </w:trPr>
        <w:tc>
          <w:tcPr>
            <w:tcW w:w="21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Gregory: 7,500,431</w:t>
            </w:r>
          </w:p>
        </w:tc>
      </w:tr>
      <w:tr>
        <w:trPr>
          <w:trHeight w:val="668"/>
        </w:trPr>
        <w:tc>
          <w:tcPr>
            <w:tcW w:w="21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825" w:gutter="0" w:footer="0" w:header="0"/>
        </w:sectPr>
      </w:pPr>
    </w:p>
    <w:bookmarkStart w:id="12" w:name="page13"/>
    <w:bookmarkEnd w:id="12"/>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left="1020" w:right="34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[__].</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left="1020" w:right="20"/>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19" w:lineRule="exact"/>
        <w:rPr>
          <w:sz w:val="20"/>
          <w:szCs w:val="20"/>
          <w:color w:val="auto"/>
        </w:rPr>
      </w:pPr>
    </w:p>
    <w:p>
      <w:pPr>
        <w:ind w:left="1020" w:right="260" w:hanging="1012"/>
        <w:spacing w:after="0" w:line="282" w:lineRule="auto"/>
        <w:tabs>
          <w:tab w:leader="none" w:pos="10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jc w:val="both"/>
        <w:ind w:left="1020" w:right="20"/>
        <w:spacing w:after="0" w:line="266" w:lineRule="auto"/>
        <w:rPr>
          <w:sz w:val="20"/>
          <w:szCs w:val="20"/>
          <w:color w:val="auto"/>
        </w:rPr>
      </w:pPr>
      <w:r>
        <w:rPr>
          <w:rFonts w:ascii="Times New Roman" w:cs="Times New Roman" w:eastAsia="Times New Roman" w:hAnsi="Times New Roman"/>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ind w:left="1020" w:right="140"/>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17145</wp:posOffset>
            </wp:positionV>
            <wp:extent cx="64890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jc w:val="both"/>
        <w:ind w:left="1020" w:right="2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417195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420" w:top="904" w:right="4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certify that the information set forth in this statement is true, complete and correct.</w:t>
      </w:r>
    </w:p>
    <w:p>
      <w:pPr>
        <w:spacing w:after="0" w:line="37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(Date)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David Witzke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Avidity Partners Management LP</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Avidity Partners Management (GP) LLC</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Avidity Capital Partners Fund (GP) LP</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Avidity Capital Partners (GP) LLC</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Avidity Master Fund LP</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Avidity Private Master Fund I LP</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David Witzke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David Witzke, for himself and as Managing Member of Avidity Partners</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Management (GP) LLC (for itself and as general partner of Avidity</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Partners Management LP) and Avidity Capital Partners (GP) LLC (for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itself and as general partner of Avidity Capital Partners Fund (GP) LP (for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itself and as general partner of Avidity Master Fund LP and Avidity Private</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Master Fund I LP))</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Michael Gregory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Avidity Partners Management LP</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Avidity Partners Management (GP) LLC</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Avidity Capital Partners Fund (GP) LP</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Avidity Capital Partners (GP) LLC</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Avidity Master Fund LP</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Avidity Private Master Fund I LP</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/s/Michael Gregory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Michael Gregory, for himself and as Managing Member of Avidity</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Partners Management (GP) LLC (for itself and as general partner of</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Avidity Partners Management LP) and Avidity Capital Partners (GP) LLC</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(for itself and as general partner of Avidity Capital Partners Fund (GP) LP</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(for itself and as general partner of Avidity Master Fund LP and Avidity</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Private Master Fund I LP))</w:t>
      </w:r>
    </w:p>
    <w:p>
      <w:pPr>
        <w:spacing w:after="0" w:line="200" w:lineRule="exact"/>
        <w:rPr>
          <w:sz w:val="20"/>
          <w:szCs w:val="20"/>
          <w:color w:val="auto"/>
        </w:rPr>
      </w:pP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persons named below agree to the joint filing on behalf of each of them of a Statement on Schedule 13G (including amendments thereto) with respect to the Common Stock of Context Therapeutics Inc., and further agree that this Joint Filing Agreement be included as an Exhibit to such joint filing</w:t>
      </w:r>
    </w:p>
    <w:p>
      <w:pPr>
        <w:spacing w:after="0" w:line="176" w:lineRule="exact"/>
        <w:rPr>
          <w:sz w:val="20"/>
          <w:szCs w:val="20"/>
          <w:color w:val="auto"/>
        </w:rPr>
      </w:pPr>
    </w:p>
    <w:p>
      <w:pPr>
        <w:jc w:val="both"/>
        <w:ind w:firstLine="694"/>
        <w:spacing w:after="0" w:line="261" w:lineRule="auto"/>
        <w:rPr>
          <w:sz w:val="20"/>
          <w:szCs w:val="20"/>
          <w:color w:val="auto"/>
        </w:rPr>
      </w:pPr>
      <w:r>
        <w:rPr>
          <w:rFonts w:ascii="Times New Roman" w:cs="Times New Roman" w:eastAsia="Times New Roman" w:hAnsi="Times New Roman"/>
          <w:sz w:val="18"/>
          <w:szCs w:val="18"/>
          <w:color w:val="auto"/>
        </w:rPr>
        <w:t>The undersigned further agree that each party hereto is responsible for the timely filing of such Statement on Schedule 13G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May 13, 2024.</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Witzke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Avidity Partners Management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Avidity Partners Management (GP)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Avidity Capital Partners Fund (GP)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Avidity Capital Partners (GP)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Avidity Master Fund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Avidity Private Master Fund I LP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David Witzke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Witzke, for himself and as Managing Member of Avidity Partners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Management (GP) LLC (for itself and as general partner of Avidity Partners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Management LP) and Avidity Capital Partners (GP) LLC (for itself and as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 of Avidity Capital Partners Fund (GP) LP (for itself and as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 of Avidity Master Fund LP and Avidity Private Master Fund 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Michael Gregory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Avidity Partners Management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Avidity Partners Management (GP)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Avidity Capital Partners Fund (GP)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Avidity Capital Partners (GP)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Avidity Master Fund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Avidity Private Master Fund I LP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Gregory</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Michael Gregory, for himself and as Managing Member of Avidity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Management (GP) LLC (for itself and as general partner of Avidity Partners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Management LP) and Avidity Capital Partners (GP) LLC (for itself and as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 of Avidity Capital Partners Fund (GP) LP (for itself and as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 of Avidity Master Fund LP and Avidity Private Master Fund 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LP))</w:t>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upperLetter"/>
      <w:start w:val="24"/>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3"/>
    </w:lvl>
  </w:abstractNum>
  <w:abstractNum w:abstractNumId="3">
    <w:nsid w:val="6763845E"/>
    <w:multiLevelType w:val="hybridMultilevel"/>
    <w:lvl w:ilvl="0">
      <w:lvlJc w:val="left"/>
      <w:lvlText w:val="%1."/>
      <w:numFmt w:val="decimal"/>
      <w:start w:val="5"/>
    </w:lvl>
  </w:abstractNum>
  <w:abstractNum w:abstractNumId="4">
    <w:nsid w:val="75A2A8D4"/>
    <w:multiLevelType w:val="hybridMultilevel"/>
    <w:lvl w:ilvl="0">
      <w:lvlJc w:val="left"/>
      <w:lvlText w:val="%1."/>
      <w:numFmt w:val="decimal"/>
      <w:start w:val="11"/>
    </w:lvl>
  </w:abstractNum>
  <w:abstractNum w:abstractNumId="5">
    <w:nsid w:val="8EDBDAB"/>
    <w:multiLevelType w:val="hybridMultilevel"/>
    <w:lvl w:ilvl="0">
      <w:lvlJc w:val="left"/>
      <w:lvlText w:val="1"/>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3"/>
    </w:lvl>
  </w:abstractNum>
  <w:abstractNum w:abstractNumId="8">
    <w:nsid w:val="B03E0C6"/>
    <w:multiLevelType w:val="hybridMultilevel"/>
    <w:lvl w:ilvl="0">
      <w:lvlJc w:val="left"/>
      <w:lvlText w:val="%1."/>
      <w:numFmt w:val="decimal"/>
      <w:start w:val="5"/>
    </w:lvl>
  </w:abstractNum>
  <w:abstractNum w:abstractNumId="9">
    <w:nsid w:val="189A769B"/>
    <w:multiLevelType w:val="hybridMultilevel"/>
    <w:lvl w:ilvl="0">
      <w:lvlJc w:val="left"/>
      <w:lvlText w:val="%1."/>
      <w:numFmt w:val="decimal"/>
      <w:start w:val="11"/>
    </w:lvl>
  </w:abstractNum>
  <w:abstractNum w:abstractNumId="10">
    <w:nsid w:val="54E49EB4"/>
    <w:multiLevelType w:val="hybridMultilevel"/>
    <w:lvl w:ilvl="0">
      <w:lvlJc w:val="left"/>
      <w:lvlText w:val="2"/>
      <w:numFmt w:val="bullet"/>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3"/>
    </w:lvl>
  </w:abstractNum>
  <w:abstractNum w:abstractNumId="13">
    <w:nsid w:val="836C40E"/>
    <w:multiLevelType w:val="hybridMultilevel"/>
    <w:lvl w:ilvl="0">
      <w:lvlJc w:val="left"/>
      <w:lvlText w:val="%1."/>
      <w:numFmt w:val="decimal"/>
      <w:start w:val="5"/>
    </w:lvl>
  </w:abstractNum>
  <w:abstractNum w:abstractNumId="14">
    <w:nsid w:val="2901D82"/>
    <w:multiLevelType w:val="hybridMultilevel"/>
    <w:lvl w:ilvl="0">
      <w:lvlJc w:val="left"/>
      <w:lvlText w:val="%1."/>
      <w:numFmt w:val="decimal"/>
      <w:start w:val="11"/>
    </w:lvl>
  </w:abstractNum>
  <w:abstractNum w:abstractNumId="15">
    <w:nsid w:val="3A95F874"/>
    <w:multiLevelType w:val="hybridMultilevel"/>
    <w:lvl w:ilvl="0">
      <w:lvlJc w:val="left"/>
      <w:lvlText w:val="3"/>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3"/>
    </w:lvl>
  </w:abstractNum>
  <w:abstractNum w:abstractNumId="18">
    <w:nsid w:val="7C3DBD3D"/>
    <w:multiLevelType w:val="hybridMultilevel"/>
    <w:lvl w:ilvl="0">
      <w:lvlJc w:val="left"/>
      <w:lvlText w:val="%1."/>
      <w:numFmt w:val="decimal"/>
      <w:start w:val="5"/>
    </w:lvl>
  </w:abstractNum>
  <w:abstractNum w:abstractNumId="19">
    <w:nsid w:val="737B8DDC"/>
    <w:multiLevelType w:val="hybridMultilevel"/>
    <w:lvl w:ilvl="0">
      <w:lvlJc w:val="left"/>
      <w:lvlText w:val="%1."/>
      <w:numFmt w:val="decimal"/>
      <w:start w:val="11"/>
    </w:lvl>
  </w:abstractNum>
  <w:abstractNum w:abstractNumId="20">
    <w:nsid w:val="6CEAF087"/>
    <w:multiLevelType w:val="hybridMultilevel"/>
    <w:lvl w:ilvl="0">
      <w:lvlJc w:val="left"/>
      <w:lvlText w:val="4"/>
      <w:numFmt w:val="bullet"/>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3"/>
    </w:lvl>
  </w:abstractNum>
  <w:abstractNum w:abstractNumId="23">
    <w:nsid w:val="3006C83E"/>
    <w:multiLevelType w:val="hybridMultilevel"/>
    <w:lvl w:ilvl="0">
      <w:lvlJc w:val="left"/>
      <w:lvlText w:val="%1."/>
      <w:numFmt w:val="decimal"/>
      <w:start w:val="5"/>
    </w:lvl>
  </w:abstractNum>
  <w:abstractNum w:abstractNumId="24">
    <w:nsid w:val="614FD4A1"/>
    <w:multiLevelType w:val="hybridMultilevel"/>
    <w:lvl w:ilvl="0">
      <w:lvlJc w:val="left"/>
      <w:lvlText w:val="%1."/>
      <w:numFmt w:val="decimal"/>
      <w:start w:val="11"/>
    </w:lvl>
  </w:abstractNum>
  <w:abstractNum w:abstractNumId="25">
    <w:nsid w:val="419AC241"/>
    <w:multiLevelType w:val="hybridMultilevel"/>
    <w:lvl w:ilvl="0">
      <w:lvlJc w:val="left"/>
      <w:lvlText w:val="5"/>
      <w:numFmt w:val="bullet"/>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3"/>
    </w:lvl>
  </w:abstractNum>
  <w:abstractNum w:abstractNumId="28">
    <w:nsid w:val="5072367"/>
    <w:multiLevelType w:val="hybridMultilevel"/>
    <w:lvl w:ilvl="0">
      <w:lvlJc w:val="left"/>
      <w:lvlText w:val="%1."/>
      <w:numFmt w:val="decimal"/>
      <w:start w:val="5"/>
    </w:lvl>
  </w:abstractNum>
  <w:abstractNum w:abstractNumId="29">
    <w:nsid w:val="3804823E"/>
    <w:multiLevelType w:val="hybridMultilevel"/>
    <w:lvl w:ilvl="0">
      <w:lvlJc w:val="left"/>
      <w:lvlText w:val="%1."/>
      <w:numFmt w:val="decimal"/>
      <w:start w:val="11"/>
    </w:lvl>
  </w:abstractNum>
  <w:abstractNum w:abstractNumId="30">
    <w:nsid w:val="77465F01"/>
    <w:multiLevelType w:val="hybridMultilevel"/>
    <w:lvl w:ilvl="0">
      <w:lvlJc w:val="left"/>
      <w:lvlText w:val="6"/>
      <w:numFmt w:val="bullet"/>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3"/>
    </w:lvl>
  </w:abstractNum>
  <w:abstractNum w:abstractNumId="33">
    <w:nsid w:val="2463B9EA"/>
    <w:multiLevelType w:val="hybridMultilevel"/>
    <w:lvl w:ilvl="0">
      <w:lvlJc w:val="left"/>
      <w:lvlText w:val="%1."/>
      <w:numFmt w:val="decimal"/>
      <w:start w:val="5"/>
    </w:lvl>
  </w:abstractNum>
  <w:abstractNum w:abstractNumId="34">
    <w:nsid w:val="5E884ADC"/>
    <w:multiLevelType w:val="hybridMultilevel"/>
    <w:lvl w:ilvl="0">
      <w:lvlJc w:val="left"/>
      <w:lvlText w:val="%1."/>
      <w:numFmt w:val="decimal"/>
      <w:start w:val="11"/>
    </w:lvl>
  </w:abstractNum>
  <w:abstractNum w:abstractNumId="35">
    <w:nsid w:val="51EAD36B"/>
    <w:multiLevelType w:val="hybridMultilevel"/>
    <w:lvl w:ilvl="0">
      <w:lvlJc w:val="left"/>
      <w:lvlText w:val="7"/>
      <w:numFmt w:val="bullet"/>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3"/>
    </w:lvl>
  </w:abstractNum>
  <w:abstractNum w:abstractNumId="38">
    <w:nsid w:val="153EA438"/>
    <w:multiLevelType w:val="hybridMultilevel"/>
    <w:lvl w:ilvl="0">
      <w:lvlJc w:val="left"/>
      <w:lvlText w:val="%1."/>
      <w:numFmt w:val="decimal"/>
      <w:start w:val="5"/>
    </w:lvl>
  </w:abstractNum>
  <w:abstractNum w:abstractNumId="39">
    <w:nsid w:val="3855585C"/>
    <w:multiLevelType w:val="hybridMultilevel"/>
    <w:lvl w:ilvl="0">
      <w:lvlJc w:val="left"/>
      <w:lvlText w:val="%1."/>
      <w:numFmt w:val="decimal"/>
      <w:start w:val="11"/>
    </w:lvl>
  </w:abstractNum>
  <w:abstractNum w:abstractNumId="40">
    <w:nsid w:val="70A64E2A"/>
    <w:multiLevelType w:val="hybridMultilevel"/>
    <w:lvl w:ilvl="0">
      <w:lvlJc w:val="left"/>
      <w:lvlText w:val="8"/>
      <w:numFmt w:val="bullet"/>
      <w:start w:val="1"/>
    </w:lvl>
  </w:abstractNum>
  <w:abstractNum w:abstractNumId="41">
    <w:nsid w:val="6A2342EC"/>
    <w:multiLevelType w:val="hybridMultilevel"/>
    <w:lvl w:ilvl="0">
      <w:lvlJc w:val="left"/>
      <w:lvlText w:val="(%1)"/>
      <w:numFmt w:val="lowerLetter"/>
      <w:start w:val="1"/>
    </w:lvl>
  </w:abstractNum>
  <w:abstractNum w:abstractNumId="42">
    <w:nsid w:val="2A487CB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2024-05-13T09:41:59Z</dcterms:created>
  <dcterms:modified xsi:type="dcterms:W3CDTF">2024-05-13T09:41:59Z</dcterms:modified>
</cp:coreProperties>
</file>