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22, 2023</w:t>
      </w:r>
    </w:p>
    <w:p>
      <w:pPr>
        <w:spacing w:after="0" w:line="2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454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ind w:left="4300"/>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REGISTRATION STATEMENT</w:t>
      </w:r>
    </w:p>
    <w:p>
      <w:pPr>
        <w:ind w:left="528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line="183" w:lineRule="auto"/>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Context Therapeutics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w:t>
      </w:r>
    </w:p>
    <w:p>
      <w:pPr>
        <w:sectPr>
          <w:pgSz w:w="11900" w:h="16838" w:orient="portrait"/>
          <w:cols w:equalWidth="0" w:num="1">
            <w:col w:w="11240"/>
          </w:cols>
          <w:pgMar w:left="320" w:top="461" w:right="339" w:bottom="1440" w:gutter="0" w:footer="0" w:header="0"/>
        </w:sectPr>
      </w:pPr>
    </w:p>
    <w:p>
      <w:pPr>
        <w:spacing w:after="0" w:line="200" w:lineRule="exact"/>
        <w:rPr>
          <w:sz w:val="24"/>
          <w:szCs w:val="24"/>
          <w:color w:val="auto"/>
        </w:rPr>
      </w:pPr>
    </w:p>
    <w:p>
      <w:pPr>
        <w:spacing w:after="0" w:line="33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86-3738787</w:t>
      </w:r>
    </w:p>
    <w:p>
      <w:pPr>
        <w:spacing w:after="0" w:line="45" w:lineRule="exact"/>
        <w:rPr>
          <w:sz w:val="24"/>
          <w:szCs w:val="24"/>
          <w:color w:val="auto"/>
        </w:rPr>
      </w:pPr>
    </w:p>
    <w:p>
      <w:pPr>
        <w:sectPr>
          <w:pgSz w:w="11900" w:h="16838" w:orient="portrait"/>
          <w:cols w:equalWidth="0" w:num="2">
            <w:col w:w="5400" w:space="720"/>
            <w:col w:w="5120"/>
          </w:cols>
          <w:pgMar w:left="320" w:top="461" w:right="33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50" w:lineRule="exact"/>
        <w:rPr>
          <w:sz w:val="24"/>
          <w:szCs w:val="24"/>
          <w:color w:val="auto"/>
        </w:rPr>
      </w:pPr>
    </w:p>
    <w:p>
      <w:pPr>
        <w:sectPr>
          <w:pgSz w:w="11900" w:h="16838" w:orient="portrait"/>
          <w:cols w:equalWidth="0" w:num="2">
            <w:col w:w="5420" w:space="720"/>
            <w:col w:w="5100"/>
          </w:cols>
          <w:pgMar w:left="320" w:top="461" w:right="3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5380" w:space="720"/>
            <w:col w:w="5140"/>
          </w:cols>
          <w:pgMar w:left="320" w:top="461" w:right="339" w:bottom="1440" w:gutter="0" w:footer="0" w:header="0"/>
          <w:type w:val="continuous"/>
        </w:sectPr>
      </w:pPr>
    </w:p>
    <w:p>
      <w:pPr>
        <w:spacing w:after="0" w:line="56"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2001 Market Street, Suite</w:t>
      </w:r>
    </w:p>
    <w:p>
      <w:pPr>
        <w:ind w:left="2860"/>
        <w:spacing w:after="0"/>
        <w:rPr>
          <w:sz w:val="20"/>
          <w:szCs w:val="20"/>
          <w:color w:val="auto"/>
        </w:rPr>
      </w:pPr>
      <w:r>
        <w:rPr>
          <w:rFonts w:ascii="Times New Roman" w:cs="Times New Roman" w:eastAsia="Times New Roman" w:hAnsi="Times New Roman"/>
          <w:sz w:val="16"/>
          <w:szCs w:val="16"/>
          <w:b w:val="1"/>
          <w:bCs w:val="1"/>
          <w:color w:val="auto"/>
        </w:rPr>
        <w:t>3915, Unit#15</w:t>
      </w:r>
    </w:p>
    <w:p>
      <w:pPr>
        <w:sectPr>
          <w:pgSz w:w="11900" w:h="16838" w:orient="portrait"/>
          <w:cols w:equalWidth="0" w:num="1">
            <w:col w:w="11240"/>
          </w:cols>
          <w:pgMar w:left="320" w:top="461" w:right="339" w:bottom="1440" w:gutter="0" w:footer="0" w:header="0"/>
          <w:type w:val="continuous"/>
        </w:sectPr>
      </w:pPr>
    </w:p>
    <w:p>
      <w:pPr>
        <w:spacing w:after="0" w:line="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Philadelphia,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19103</w:t>
      </w:r>
    </w:p>
    <w:p>
      <w:pPr>
        <w:spacing w:after="0" w:line="28" w:lineRule="exact"/>
        <w:rPr>
          <w:sz w:val="24"/>
          <w:szCs w:val="24"/>
          <w:color w:val="auto"/>
        </w:rPr>
      </w:pPr>
    </w:p>
    <w:p>
      <w:pPr>
        <w:sectPr>
          <w:pgSz w:w="11900" w:h="16838" w:orient="portrait"/>
          <w:cols w:equalWidth="0" w:num="2">
            <w:col w:w="5680" w:space="720"/>
            <w:col w:w="4840"/>
          </w:cols>
          <w:pgMar w:left="320" w:top="461"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5580" w:space="720"/>
            <w:col w:w="4940"/>
          </w:cols>
          <w:pgMar w:left="320" w:top="461" w:right="339" w:bottom="1440" w:gutter="0" w:footer="0" w:header="0"/>
          <w:type w:val="continuous"/>
        </w:sectPr>
      </w:pP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Context Therapeutics Inc. 2021 Long-Term Performance Incentive Plan</w:t>
      </w: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titles of the plans)</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Martin Lehr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Chief Executive Officer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Context Therapeutics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2001 Market Street, Suite 3915, Unit#15</w:t>
      </w:r>
    </w:p>
    <w:p>
      <w:pPr>
        <w:jc w:val="center"/>
        <w:spacing w:after="0" w:line="212" w:lineRule="auto"/>
        <w:rPr>
          <w:sz w:val="20"/>
          <w:szCs w:val="20"/>
          <w:color w:val="auto"/>
        </w:rPr>
      </w:pPr>
      <w:r>
        <w:rPr>
          <w:rFonts w:ascii="Times New Roman" w:cs="Times New Roman" w:eastAsia="Times New Roman" w:hAnsi="Times New Roman"/>
          <w:sz w:val="16"/>
          <w:szCs w:val="16"/>
          <w:b w:val="1"/>
          <w:bCs w:val="1"/>
          <w:color w:val="auto"/>
        </w:rPr>
        <w:t>Philadelphia, Pennsylvania 19103</w:t>
      </w:r>
    </w:p>
    <w:p>
      <w:pPr>
        <w:jc w:val="center"/>
        <w:spacing w:after="0" w:line="200" w:lineRule="auto"/>
        <w:rPr>
          <w:sz w:val="20"/>
          <w:szCs w:val="20"/>
          <w:color w:val="auto"/>
        </w:rPr>
      </w:pPr>
      <w:r>
        <w:rPr>
          <w:rFonts w:ascii="Times New Roman" w:cs="Times New Roman" w:eastAsia="Times New Roman" w:hAnsi="Times New Roman"/>
          <w:sz w:val="16"/>
          <w:szCs w:val="16"/>
          <w:b w:val="1"/>
          <w:bCs w:val="1"/>
          <w:color w:val="auto"/>
        </w:rPr>
        <w:t>(267) 225-7416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(Name, address, telephone number, including area code, and zip code, of agent for service)</w:t>
      </w:r>
    </w:p>
    <w:p>
      <w:pPr>
        <w:spacing w:after="0" w:line="28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ectPr>
          <w:pgSz w:w="11900" w:h="16838" w:orient="portrait"/>
          <w:cols w:equalWidth="0" w:num="1">
            <w:col w:w="11240"/>
          </w:cols>
          <w:pgMar w:left="320" w:top="461" w:right="339" w:bottom="1440" w:gutter="0" w:footer="0" w:header="0"/>
          <w:type w:val="continuous"/>
        </w:sectPr>
      </w:pPr>
    </w:p>
    <w:p>
      <w:pPr>
        <w:spacing w:after="0" w:line="34"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Walter J. Mostek, Esq.</w:t>
      </w:r>
    </w:p>
    <w:p>
      <w:pPr>
        <w:spacing w:after="0" w:line="32"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Griffin D. Foster, Esq.</w:t>
      </w:r>
    </w:p>
    <w:p>
      <w:pPr>
        <w:spacing w:after="0" w:line="32"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Faegre Drinker Biddle &amp; Reath LLP</w:t>
      </w:r>
    </w:p>
    <w:p>
      <w:pPr>
        <w:spacing w:after="0" w:line="32"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One Logan Square</w:t>
      </w:r>
    </w:p>
    <w:p>
      <w:pPr>
        <w:spacing w:after="0" w:line="32"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Philadelphia, Pennsylvania 19103</w:t>
      </w:r>
    </w:p>
    <w:p>
      <w:pPr>
        <w:spacing w:after="0" w:line="32"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Tel.: (215) 988-3330</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Alex Levit</w:t>
      </w:r>
    </w:p>
    <w:p>
      <w:pPr>
        <w:spacing w:after="0" w:line="3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Chief Legal Officer</w:t>
      </w:r>
    </w:p>
    <w:p>
      <w:pPr>
        <w:spacing w:after="0" w:line="3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2001 Market Street, Suite 3915, Unit#15</w:t>
      </w:r>
    </w:p>
    <w:p>
      <w:pPr>
        <w:spacing w:after="0" w:line="3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Philadelphia, Pennsylvania 19103</w:t>
      </w:r>
    </w:p>
    <w:p>
      <w:pPr>
        <w:spacing w:after="0" w:line="3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Tel.: (267) 225-7416</w:t>
      </w:r>
    </w:p>
    <w:p>
      <w:pPr>
        <w:spacing w:after="0" w:line="200" w:lineRule="exact"/>
        <w:rPr>
          <w:sz w:val="24"/>
          <w:szCs w:val="24"/>
          <w:color w:val="auto"/>
        </w:rPr>
      </w:pPr>
    </w:p>
    <w:p>
      <w:pPr>
        <w:sectPr>
          <w:pgSz w:w="11900" w:h="16838" w:orient="portrait"/>
          <w:cols w:equalWidth="0" w:num="2">
            <w:col w:w="5680" w:space="720"/>
            <w:col w:w="4840"/>
          </w:cols>
          <w:pgMar w:left="320" w:top="461" w:right="339" w:bottom="1440" w:gutter="0" w:footer="0" w:header="0"/>
          <w:type w:val="continuous"/>
        </w:sectPr>
      </w:pPr>
    </w:p>
    <w:p>
      <w:pPr>
        <w:spacing w:after="0" w:line="347" w:lineRule="exact"/>
        <w:rPr>
          <w:sz w:val="24"/>
          <w:szCs w:val="24"/>
          <w:color w:val="auto"/>
        </w:rPr>
      </w:pPr>
    </w:p>
    <w:p>
      <w:pPr>
        <w:ind w:right="280"/>
        <w:spacing w:after="0" w:line="29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1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461" w:right="339" w:bottom="1440" w:gutter="0" w:footer="0" w:header="0"/>
          <w:type w:val="continuous"/>
        </w:sectPr>
      </w:pPr>
    </w:p>
    <w:bookmarkStart w:id="1" w:name="page2"/>
    <w:bookmarkEnd w:id="1"/>
    <w:p>
      <w:pPr>
        <w:spacing w:after="0" w:line="216"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2021 Long-Term Performance Incentive Plan</w:t>
      </w:r>
    </w:p>
    <w:p>
      <w:pPr>
        <w:spacing w:after="0" w:line="22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6"/>
          <w:szCs w:val="16"/>
          <w:color w:val="auto"/>
        </w:rPr>
        <w:t>This Registration Statement on Form S-8 (the “Registration Statement”) is being filed for the purpose of registering an additional 638,642 shares of common stock, par value $0.001 per share (“Common Stock") of Context Therapeutics Inc. (the "Registrant"), issuable pursuant to the Context Therapeutics Inc. 2021 Long-Term Performance Incentive Plan (the “2021 Plan”). These additional shares of common stock have become reserved for issuance as a result of the operation of the “evergreen” provision in the 2021 Plan, which provides that the total number of shares subject to such plan will be increased on the first day of each fiscal year pursuant to a specified formula or will be increased to such lesser total number of shares as may be determined by the Registrant's Board of Directors with respect to the 2021 Plan. Pursuant to General Instruction E of Form S-8, the contents of the previous Registration Statements on Form S-8 filed by the Registrant with the Securities and Exchange Commission (the “Commission”) on October 20, 2021 (File No. 333-260385) and March 23, 2022 (File No. 333-263789), to the extent not otherwise amended or superseded by the contents hereof, are incorporated by reference into this Registration Statement.</w:t>
      </w:r>
    </w:p>
    <w:p>
      <w:pPr>
        <w:sectPr>
          <w:pgSz w:w="11900" w:h="16838" w:orient="portrait"/>
          <w:cols w:equalWidth="0" w:num="1">
            <w:col w:w="11240"/>
          </w:cols>
          <w:pgMar w:left="320" w:top="353"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Incorporation of Documents by Reference.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documents of the Registrant filed with the Commission are incorporated by reference in this Registration Statement as of their respective dates:</w:t>
      </w:r>
    </w:p>
    <w:p>
      <w:pPr>
        <w:spacing w:after="0" w:line="235" w:lineRule="exact"/>
        <w:rPr>
          <w:sz w:val="20"/>
          <w:szCs w:val="20"/>
          <w:color w:val="auto"/>
        </w:rPr>
      </w:pPr>
    </w:p>
    <w:p>
      <w:pPr>
        <w:ind w:left="880" w:hanging="22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Annual Report on </w:t>
      </w:r>
      <w:hyperlink r:id="rId8">
        <w:r>
          <w:rPr>
            <w:rFonts w:ascii="Times New Roman" w:cs="Times New Roman" w:eastAsia="Times New Roman" w:hAnsi="Times New Roman"/>
            <w:sz w:val="16"/>
            <w:szCs w:val="16"/>
            <w:u w:val="single" w:color="auto"/>
            <w:color w:val="0000FF"/>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2022, filed with the Commission on March 22, 2023;</w:t>
      </w:r>
    </w:p>
    <w:p>
      <w:pPr>
        <w:spacing w:after="0" w:line="23" w:lineRule="exact"/>
        <w:rPr>
          <w:rFonts w:ascii="Times New Roman" w:cs="Times New Roman" w:eastAsia="Times New Roman" w:hAnsi="Times New Roman"/>
          <w:sz w:val="16"/>
          <w:szCs w:val="16"/>
          <w:color w:val="auto"/>
        </w:rPr>
      </w:pPr>
    </w:p>
    <w:p>
      <w:pPr>
        <w:ind w:left="880" w:hanging="224"/>
        <w:spacing w:after="0" w:line="228"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Current Reports on Form 8-K filed with the Commission on </w:t>
      </w:r>
      <w:hyperlink r:id="rId9">
        <w:r>
          <w:rPr>
            <w:rFonts w:ascii="Times New Roman" w:cs="Times New Roman" w:eastAsia="Times New Roman" w:hAnsi="Times New Roman"/>
            <w:sz w:val="16"/>
            <w:szCs w:val="16"/>
            <w:u w:val="single" w:color="auto"/>
            <w:color w:val="0000FF"/>
          </w:rPr>
          <w:t>January 27, 2023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10">
        <w:r>
          <w:rPr>
            <w:rFonts w:ascii="Times New Roman" w:cs="Times New Roman" w:eastAsia="Times New Roman" w:hAnsi="Times New Roman"/>
            <w:sz w:val="16"/>
            <w:szCs w:val="16"/>
            <w:u w:val="single" w:color="auto"/>
            <w:color w:val="0000FF"/>
          </w:rPr>
          <w:t>March 22, 2023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(except Item 2.02 and Exhibit 99.1); and</w:t>
      </w:r>
    </w:p>
    <w:p>
      <w:pPr>
        <w:ind w:left="880" w:hanging="22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the Common Stock contained in our registration statement on </w:t>
      </w:r>
      <w:hyperlink r:id="rId11">
        <w:r>
          <w:rPr>
            <w:rFonts w:ascii="Times New Roman" w:cs="Times New Roman" w:eastAsia="Times New Roman" w:hAnsi="Times New Roman"/>
            <w:sz w:val="16"/>
            <w:szCs w:val="16"/>
            <w:u w:val="single" w:color="auto"/>
            <w:color w:val="0000FF"/>
          </w:rPr>
          <w:t>Form 8-A</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 No. 001-40654) filed with the Commission on July 23, 2021,</w:t>
      </w:r>
    </w:p>
    <w:p>
      <w:pPr>
        <w:spacing w:after="0" w:line="5"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including any amendment or report filed for the purpose of updating such description.</w:t>
      </w:r>
    </w:p>
    <w:p>
      <w:pPr>
        <w:spacing w:after="0" w:line="217" w:lineRule="exact"/>
        <w:rPr>
          <w:rFonts w:ascii="Times New Roman" w:cs="Times New Roman" w:eastAsia="Times New Roman" w:hAnsi="Times New Roman"/>
          <w:sz w:val="16"/>
          <w:szCs w:val="16"/>
          <w:color w:val="auto"/>
        </w:rPr>
      </w:pPr>
    </w:p>
    <w:p>
      <w:pPr>
        <w:jc w:val="both"/>
        <w:ind w:right="200" w:firstLine="648"/>
        <w:spacing w:after="0" w:line="252" w:lineRule="auto"/>
        <w:rPr>
          <w:sz w:val="20"/>
          <w:szCs w:val="20"/>
          <w:color w:val="auto"/>
        </w:rPr>
      </w:pPr>
      <w:r>
        <w:rPr>
          <w:rFonts w:ascii="Times New Roman" w:cs="Times New Roman" w:eastAsia="Times New Roman" w:hAnsi="Times New Roman"/>
          <w:sz w:val="16"/>
          <w:szCs w:val="16"/>
          <w:color w:val="auto"/>
        </w:rPr>
        <w:t>All reports and other documents filed by the Registrant after the date hereof pursuant to Sections 13(a), 13(c), 14 and 15(d) of the Securities Exchange Act of 1934, as amended (the “Exchange Act”), but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for the documents, or portions thereof, that are “furnished” rather than filed with the Commission.</w:t>
      </w:r>
    </w:p>
    <w:p>
      <w:pPr>
        <w:spacing w:after="0" w:line="199" w:lineRule="exact"/>
        <w:rPr>
          <w:rFonts w:ascii="Times New Roman" w:cs="Times New Roman" w:eastAsia="Times New Roman" w:hAnsi="Times New Roman"/>
          <w:sz w:val="16"/>
          <w:szCs w:val="16"/>
          <w:color w:val="auto"/>
        </w:rPr>
      </w:pPr>
    </w:p>
    <w:p>
      <w:pPr>
        <w:ind w:right="120" w:firstLine="648"/>
        <w:spacing w:after="0" w:line="246" w:lineRule="auto"/>
        <w:rPr>
          <w:sz w:val="20"/>
          <w:szCs w:val="20"/>
          <w:color w:val="auto"/>
        </w:rPr>
      </w:pPr>
      <w:r>
        <w:rPr>
          <w:rFonts w:ascii="Times New Roman" w:cs="Times New Roman" w:eastAsia="Times New Roman" w:hAnsi="Times New Roman"/>
          <w:sz w:val="16"/>
          <w:szCs w:val="16"/>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16"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Exhibits.</w:t>
      </w:r>
    </w:p>
    <w:p>
      <w:pPr>
        <w:spacing w:after="0" w:line="250" w:lineRule="exact"/>
        <w:rPr>
          <w:rFonts w:ascii="Times New Roman" w:cs="Times New Roman" w:eastAsia="Times New Roman" w:hAnsi="Times New Roman"/>
          <w:sz w:val="16"/>
          <w:szCs w:val="16"/>
          <w:color w:val="auto"/>
        </w:rPr>
      </w:pPr>
    </w:p>
    <w:p>
      <w:pPr>
        <w:ind w:right="620" w:firstLine="892"/>
        <w:spacing w:after="0" w:line="316" w:lineRule="auto"/>
        <w:rPr>
          <w:sz w:val="20"/>
          <w:szCs w:val="20"/>
          <w:color w:val="auto"/>
        </w:rPr>
      </w:pPr>
      <w:r>
        <w:rPr>
          <w:rFonts w:ascii="Times New Roman" w:cs="Times New Roman" w:eastAsia="Times New Roman" w:hAnsi="Times New Roman"/>
          <w:sz w:val="16"/>
          <w:szCs w:val="16"/>
          <w:color w:val="auto"/>
        </w:rPr>
        <w:t>A list of the exhibits required to be filed as a part of this Registration Statement on Form S-8 is set forth in the Exhibit Index, which follows, and is incorporated herein by reference.</w:t>
      </w:r>
    </w:p>
    <w:p>
      <w:pPr>
        <w:sectPr>
          <w:pgSz w:w="11900" w:h="16838" w:orient="portrait"/>
          <w:cols w:equalWidth="0" w:num="1">
            <w:col w:w="11060"/>
          </w:cols>
          <w:pgMar w:left="320" w:top="353"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20" w:type="dxa"/>
            <w:vAlign w:val="bottom"/>
            <w:gridSpan w:val="12"/>
          </w:tcPr>
          <w:p>
            <w:pPr>
              <w:ind w:left="19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87"/>
        </w:trPr>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40" w:type="dxa"/>
            <w:vAlign w:val="bottom"/>
          </w:tcPr>
          <w:p>
            <w:pPr>
              <w:spacing w:after="0"/>
              <w:rPr>
                <w:sz w:val="18"/>
                <w:szCs w:val="18"/>
                <w:color w:val="auto"/>
              </w:rPr>
            </w:pPr>
          </w:p>
        </w:tc>
        <w:tc>
          <w:tcPr>
            <w:tcW w:w="8380" w:type="dxa"/>
            <w:vAlign w:val="bottom"/>
            <w:gridSpan w:val="1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2"/>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14"/>
                <w:szCs w:val="14"/>
                <w:color w:val="auto"/>
              </w:rPr>
            </w:pPr>
          </w:p>
        </w:tc>
        <w:tc>
          <w:tcPr>
            <w:tcW w:w="8380" w:type="dxa"/>
            <w:vAlign w:val="bottom"/>
            <w:gridSpan w:val="14"/>
          </w:tcPr>
          <w:p>
            <w:pPr>
              <w:spacing w:after="0" w:line="162" w:lineRule="exact"/>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Amended &amp; Restated Certificate of Incorporation of Context Therapeutics Inc. (incorporated by reference to Exhibit 3.1 to the</w:t>
              </w:r>
            </w:hyperlink>
          </w:p>
        </w:tc>
        <w:tc>
          <w:tcPr>
            <w:tcW w:w="0" w:type="dxa"/>
            <w:vAlign w:val="bottom"/>
          </w:tcPr>
          <w:p>
            <w:pPr>
              <w:spacing w:after="0"/>
              <w:rPr>
                <w:sz w:val="1"/>
                <w:szCs w:val="1"/>
                <w:color w:val="auto"/>
              </w:rPr>
            </w:pPr>
          </w:p>
        </w:tc>
      </w:tr>
      <w:tr>
        <w:trPr>
          <w:trHeight w:val="142"/>
        </w:trPr>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9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Company’s Current Report on Form 8-K (File No. 001-40654), as filed with the SEC on October 22, 2021).</w:t>
              </w:r>
            </w:hyperlink>
          </w:p>
        </w:tc>
        <w:tc>
          <w:tcPr>
            <w:tcW w:w="122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tcPr>
          <w:p>
            <w:pPr>
              <w:spacing w:after="0"/>
              <w:rPr>
                <w:sz w:val="17"/>
                <w:szCs w:val="17"/>
                <w:color w:val="auto"/>
              </w:rPr>
            </w:pPr>
          </w:p>
        </w:tc>
        <w:tc>
          <w:tcPr>
            <w:tcW w:w="8380" w:type="dxa"/>
            <w:vAlign w:val="bottom"/>
            <w:gridSpan w:val="14"/>
          </w:tcPr>
          <w:p>
            <w:pPr>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Amended &amp; Restated Bylaws of Context Therapeutics Inc. (incorporated by reference to Exhibit 3.2 to the Company’s Current</w:t>
              </w:r>
            </w:hyperlink>
          </w:p>
        </w:tc>
        <w:tc>
          <w:tcPr>
            <w:tcW w:w="0" w:type="dxa"/>
            <w:vAlign w:val="bottom"/>
          </w:tcPr>
          <w:p>
            <w:pPr>
              <w:spacing w:after="0"/>
              <w:rPr>
                <w:sz w:val="1"/>
                <w:szCs w:val="1"/>
                <w:color w:val="auto"/>
              </w:rPr>
            </w:pPr>
          </w:p>
        </w:tc>
      </w:tr>
      <w:tr>
        <w:trPr>
          <w:trHeight w:val="142"/>
        </w:trPr>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2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Report on Form 8-K (File No. 001-40654), as filed with the SEC on October 22, 2021).</w:t>
              </w:r>
            </w:hyperlink>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Pr>
          <w:p>
            <w:pPr>
              <w:spacing w:after="0"/>
              <w:rPr>
                <w:sz w:val="17"/>
                <w:szCs w:val="17"/>
                <w:color w:val="auto"/>
              </w:rPr>
            </w:pPr>
          </w:p>
        </w:tc>
        <w:tc>
          <w:tcPr>
            <w:tcW w:w="8380" w:type="dxa"/>
            <w:vAlign w:val="bottom"/>
            <w:gridSpan w:val="14"/>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Form of Common Stock Purchase Warrant (incorporated by reference to Exhibit 4.1 to the Company’s Quarterly Report on Form</w:t>
              </w:r>
            </w:hyperlink>
          </w:p>
        </w:tc>
        <w:tc>
          <w:tcPr>
            <w:tcW w:w="0" w:type="dxa"/>
            <w:vAlign w:val="bottom"/>
          </w:tcPr>
          <w:p>
            <w:pPr>
              <w:spacing w:after="0"/>
              <w:rPr>
                <w:sz w:val="1"/>
                <w:szCs w:val="1"/>
                <w:color w:val="auto"/>
              </w:rPr>
            </w:pPr>
          </w:p>
        </w:tc>
      </w:tr>
      <w:tr>
        <w:trPr>
          <w:trHeight w:val="142"/>
        </w:trPr>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10-Q (File No. 001-40654), as filed with the SEC on December 2, 2021).</w:t>
              </w:r>
            </w:hyperlink>
          </w:p>
        </w:tc>
        <w:tc>
          <w:tcPr>
            <w:tcW w:w="36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Opinion of Faegre Drinker Biddle &amp; Reath LLP.</w:t>
            </w:r>
          </w:p>
        </w:tc>
        <w:tc>
          <w:tcPr>
            <w:tcW w:w="5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tcPr>
          <w:p>
            <w:pPr>
              <w:spacing w:after="0"/>
              <w:rPr>
                <w:sz w:val="17"/>
                <w:szCs w:val="17"/>
                <w:color w:val="auto"/>
              </w:rPr>
            </w:pPr>
          </w:p>
        </w:tc>
        <w:tc>
          <w:tcPr>
            <w:tcW w:w="8380" w:type="dxa"/>
            <w:vAlign w:val="bottom"/>
            <w:gridSpan w:val="14"/>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Context Therapeutics Inc. 2021 Long-Term Incentive Plan (incorporated by reference to Exhibit 10.6 to the Company’s</w:t>
              </w:r>
            </w:hyperlink>
          </w:p>
        </w:tc>
        <w:tc>
          <w:tcPr>
            <w:tcW w:w="0" w:type="dxa"/>
            <w:vAlign w:val="bottom"/>
          </w:tcPr>
          <w:p>
            <w:pPr>
              <w:spacing w:after="0"/>
              <w:rPr>
                <w:sz w:val="1"/>
                <w:szCs w:val="1"/>
                <w:color w:val="auto"/>
              </w:rPr>
            </w:pPr>
          </w:p>
        </w:tc>
      </w:tr>
      <w:tr>
        <w:trPr>
          <w:trHeight w:val="142"/>
        </w:trPr>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5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Registration Statement on Form S-1 (File No. 333-256572), as filed with the SEC on May 27, 2021).</w:t>
              </w:r>
            </w:hyperlink>
          </w:p>
        </w:tc>
        <w:tc>
          <w:tcPr>
            <w:tcW w:w="1200" w:type="dxa"/>
            <w:vAlign w:val="bottom"/>
            <w:tcBorders>
              <w:top w:val="single" w:sz="8" w:color="0000FF"/>
            </w:tcBorders>
            <w:gridSpan w:val="2"/>
          </w:tcPr>
          <w:p>
            <w:pPr>
              <w:spacing w:after="0"/>
              <w:rPr>
                <w:sz w:val="12"/>
                <w:szCs w:val="12"/>
                <w:color w:val="auto"/>
              </w:rPr>
            </w:pPr>
          </w:p>
        </w:tc>
        <w:tc>
          <w:tcPr>
            <w:tcW w:w="6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23.1*</w:t>
            </w:r>
          </w:p>
        </w:tc>
        <w:tc>
          <w:tcPr>
            <w:tcW w:w="340" w:type="dxa"/>
            <w:vAlign w:val="bottom"/>
          </w:tcPr>
          <w:p>
            <w:pPr>
              <w:spacing w:after="0"/>
              <w:rPr>
                <w:sz w:val="17"/>
                <w:szCs w:val="17"/>
                <w:color w:val="auto"/>
              </w:rPr>
            </w:pPr>
          </w:p>
        </w:tc>
        <w:tc>
          <w:tcPr>
            <w:tcW w:w="504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Consent of CohnReznick LLP, independent registered public accounting firm.</w:t>
            </w:r>
          </w:p>
        </w:tc>
        <w:tc>
          <w:tcPr>
            <w:tcW w:w="3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340" w:type="dxa"/>
            <w:vAlign w:val="bottom"/>
          </w:tcPr>
          <w:p>
            <w:pPr>
              <w:spacing w:after="0"/>
              <w:rPr>
                <w:sz w:val="18"/>
                <w:szCs w:val="18"/>
                <w:color w:val="auto"/>
              </w:rPr>
            </w:pPr>
          </w:p>
        </w:tc>
        <w:tc>
          <w:tcPr>
            <w:tcW w:w="838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Consent of Faegre Drinker Biddle &amp; Reath LLP (included in Exhibit 5.1).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36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340" w:type="dxa"/>
            <w:vAlign w:val="bottom"/>
          </w:tcPr>
          <w:p>
            <w:pPr>
              <w:spacing w:after="0"/>
              <w:rPr>
                <w:sz w:val="20"/>
                <w:szCs w:val="20"/>
                <w:color w:val="auto"/>
              </w:rPr>
            </w:pPr>
          </w:p>
        </w:tc>
        <w:tc>
          <w:tcPr>
            <w:tcW w:w="83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to this registration statement on Form S-8).</w:t>
            </w:r>
          </w:p>
        </w:tc>
        <w:tc>
          <w:tcPr>
            <w:tcW w:w="0" w:type="dxa"/>
            <w:vAlign w:val="bottom"/>
          </w:tcPr>
          <w:p>
            <w:pPr>
              <w:spacing w:after="0"/>
              <w:rPr>
                <w:sz w:val="1"/>
                <w:szCs w:val="1"/>
                <w:color w:val="auto"/>
              </w:rPr>
            </w:pPr>
          </w:p>
        </w:tc>
      </w:tr>
      <w:tr>
        <w:trPr>
          <w:trHeight w:val="181"/>
        </w:trPr>
        <w:tc>
          <w:tcPr>
            <w:tcW w:w="6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107*</w:t>
            </w:r>
          </w:p>
        </w:tc>
        <w:tc>
          <w:tcPr>
            <w:tcW w:w="340" w:type="dxa"/>
            <w:vAlign w:val="bottom"/>
          </w:tcPr>
          <w:p>
            <w:pPr>
              <w:spacing w:after="0"/>
              <w:rPr>
                <w:sz w:val="15"/>
                <w:szCs w:val="15"/>
                <w:color w:val="auto"/>
              </w:rPr>
            </w:pPr>
          </w:p>
        </w:tc>
        <w:tc>
          <w:tcPr>
            <w:tcW w:w="106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6"/>
                <w:szCs w:val="16"/>
                <w:color w:val="0000FF"/>
                <w:w w:val="98"/>
              </w:rPr>
              <w:t>Filing Fee Table</w:t>
            </w:r>
          </w:p>
        </w:tc>
        <w:tc>
          <w:tcPr>
            <w:tcW w:w="73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ectPr>
          <w:pgSz w:w="11900" w:h="16838" w:orient="portrait"/>
          <w:cols w:equalWidth="0" w:num="1">
            <w:col w:w="10139"/>
          </w:cols>
          <w:pgMar w:left="320" w:top="644" w:right="1440"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jc w:val="both"/>
        <w:ind w:right="180" w:firstLine="396"/>
        <w:spacing w:after="0" w:line="290"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City of Philadelphia, State of Pennsylvania, on the 22 day of March, 2023.</w:t>
      </w:r>
    </w:p>
    <w:p>
      <w:pPr>
        <w:spacing w:after="0" w:line="23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Context Therapeutics Inc.</w:t>
      </w:r>
    </w:p>
    <w:p>
      <w:pPr>
        <w:spacing w:after="0" w:line="30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By: /s/ Martin A.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20320</wp:posOffset>
            </wp:positionV>
            <wp:extent cx="30346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Martin A. Lehr</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50" w:lineRule="exact"/>
        <w:rPr>
          <w:sz w:val="20"/>
          <w:szCs w:val="20"/>
          <w:color w:val="auto"/>
        </w:rPr>
      </w:pPr>
    </w:p>
    <w:p>
      <w:pPr>
        <w:ind w:firstLine="396"/>
        <w:spacing w:after="0" w:line="299"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Martin Lehr and Jennifer Minai-Azary, and each one of them, as his or her true and lawful attorneys-in-fact and agents, with power to act without any other and with full power of substitution, to do any and all acts and things in our name and behalf in our capacities as directors and officers, to sign any and all amendments (including post-effective amendments) to this registration statement, or any related registration statement that is to be effective upon filing under the Securities Act of 1933, as amended, and to file the same, with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18" w:lineRule="exact"/>
        <w:rPr>
          <w:sz w:val="20"/>
          <w:szCs w:val="20"/>
          <w:color w:val="auto"/>
        </w:rPr>
      </w:pPr>
    </w:p>
    <w:p>
      <w:pPr>
        <w:ind w:right="60" w:firstLine="396"/>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4180" w:type="dxa"/>
            <w:vAlign w:val="bottom"/>
          </w:tcPr>
          <w:p>
            <w:pPr>
              <w:ind w:left="21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280" w:type="dxa"/>
            <w:vAlign w:val="bottom"/>
          </w:tcPr>
          <w:p>
            <w:pPr>
              <w:ind w:left="1660"/>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226"/>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Martin Lehr</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and Director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10"/>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Martin Lehr</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280" w:type="dxa"/>
            <w:vAlign w:val="bottom"/>
          </w:tcPr>
          <w:p>
            <w:pPr>
              <w:spacing w:after="0"/>
              <w:rPr>
                <w:sz w:val="18"/>
                <w:szCs w:val="18"/>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Jennifer Minai-Azary</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74"/>
        </w:trPr>
        <w:tc>
          <w:tcPr>
            <w:tcW w:w="42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Jennifer Minai-Azary</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2280" w:type="dxa"/>
            <w:vAlign w:val="bottom"/>
          </w:tcPr>
          <w:p>
            <w:pPr>
              <w:spacing w:after="0"/>
              <w:rPr>
                <w:sz w:val="23"/>
                <w:szCs w:val="23"/>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Berman</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Chairman of the Board and Director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07"/>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Richard Berman</w:t>
            </w:r>
          </w:p>
        </w:tc>
        <w:tc>
          <w:tcPr>
            <w:tcW w:w="41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Philip Kantoff</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07"/>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Philip Kantoff</w:t>
            </w:r>
          </w:p>
        </w:tc>
        <w:tc>
          <w:tcPr>
            <w:tcW w:w="41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Jennifer Evans Stacey</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07"/>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Jennifer Evans Stacey</w:t>
            </w:r>
          </w:p>
        </w:tc>
        <w:tc>
          <w:tcPr>
            <w:tcW w:w="41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Linda West</w:t>
            </w:r>
          </w:p>
        </w:tc>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228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22, 2023</w:t>
            </w:r>
          </w:p>
        </w:tc>
      </w:tr>
      <w:tr>
        <w:trPr>
          <w:trHeight w:val="207"/>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Linda West</w:t>
            </w:r>
          </w:p>
        </w:tc>
        <w:tc>
          <w:tcPr>
            <w:tcW w:w="4180" w:type="dxa"/>
            <w:vAlign w:val="bottom"/>
          </w:tcPr>
          <w:p>
            <w:pPr>
              <w:spacing w:after="0"/>
              <w:rPr>
                <w:sz w:val="17"/>
                <w:szCs w:val="17"/>
                <w:color w:val="auto"/>
              </w:rPr>
            </w:pPr>
          </w:p>
        </w:tc>
        <w:tc>
          <w:tcPr>
            <w:tcW w:w="2280" w:type="dxa"/>
            <w:vAlign w:val="bottom"/>
          </w:tcPr>
          <w:p>
            <w:pPr>
              <w:spacing w:after="0"/>
              <w:rPr>
                <w:sz w:val="17"/>
                <w:szCs w:val="17"/>
                <w:color w:val="auto"/>
              </w:rPr>
            </w:pPr>
          </w:p>
        </w:tc>
      </w:tr>
    </w:tbl>
    <w:p>
      <w:pPr>
        <w:sectPr>
          <w:pgSz w:w="11900" w:h="16838" w:orient="portrait"/>
          <w:cols w:equalWidth="0" w:num="1">
            <w:col w:w="11100"/>
          </w:cols>
          <w:pgMar w:left="320" w:top="355" w:right="479" w:bottom="1440" w:gutter="0" w:footer="0" w:header="0"/>
        </w:sectPr>
      </w:pPr>
    </w:p>
    <w:bookmarkStart w:id="6" w:name="page7"/>
    <w:bookmarkEnd w:id="6"/>
    <w:p>
      <w:pPr>
        <w:spacing w:after="0" w:line="176"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900" w:type="dxa"/>
            <w:vAlign w:val="bottom"/>
            <w:tcBorders>
              <w:top w:val="single" w:sz="8" w:color="auto"/>
              <w:left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Proposed</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42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24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Maximum</w:t>
            </w:r>
          </w:p>
        </w:tc>
        <w:tc>
          <w:tcPr>
            <w:tcW w:w="17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Offering</w:t>
            </w:r>
          </w:p>
        </w:tc>
        <w:tc>
          <w:tcPr>
            <w:tcW w:w="17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Aggregate</w:t>
            </w:r>
          </w:p>
        </w:tc>
        <w:tc>
          <w:tcPr>
            <w:tcW w:w="14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tcBorders>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Security</w:t>
            </w:r>
          </w:p>
        </w:tc>
        <w:tc>
          <w:tcPr>
            <w:tcW w:w="10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Class</w:t>
            </w:r>
          </w:p>
        </w:tc>
        <w:tc>
          <w:tcPr>
            <w:tcW w:w="12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Calculation</w:t>
            </w:r>
          </w:p>
        </w:tc>
        <w:tc>
          <w:tcPr>
            <w:tcW w:w="240" w:type="dxa"/>
            <w:vAlign w:val="bottom"/>
          </w:tcPr>
          <w:p>
            <w:pPr>
              <w:spacing w:after="0"/>
              <w:rPr>
                <w:sz w:val="16"/>
                <w:szCs w:val="16"/>
                <w:color w:val="auto"/>
              </w:rPr>
            </w:pPr>
          </w:p>
        </w:tc>
        <w:tc>
          <w:tcPr>
            <w:tcW w:w="1480" w:type="dxa"/>
            <w:vAlign w:val="bottom"/>
            <w:tcBorders>
              <w:right w:val="single" w:sz="8" w:color="auto"/>
            </w:tcBorders>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8"/>
              </w:rPr>
              <w:t>Amount</w:t>
            </w:r>
          </w:p>
        </w:tc>
        <w:tc>
          <w:tcPr>
            <w:tcW w:w="1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Price Per</w:t>
            </w:r>
          </w:p>
        </w:tc>
        <w:tc>
          <w:tcPr>
            <w:tcW w:w="17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Offering</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3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Registered (1)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420" w:type="dxa"/>
            <w:vAlign w:val="bottom"/>
            <w:tcBorders>
              <w:bottom w:val="single" w:sz="8" w:color="auto"/>
              <w:right w:val="single" w:sz="8" w:color="auto"/>
            </w:tcBorders>
            <w:vMerge w:val="continue"/>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36"/>
        </w:trPr>
        <w:tc>
          <w:tcPr>
            <w:tcW w:w="900" w:type="dxa"/>
            <w:vAlign w:val="bottom"/>
            <w:tcBorders>
              <w:left w:val="single" w:sz="8" w:color="auto"/>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$0.001</w:t>
            </w:r>
          </w:p>
        </w:tc>
        <w:tc>
          <w:tcPr>
            <w:tcW w:w="1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w:t>
            </w: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$110.20 per</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457(c) and (h)</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4"/>
              </w:rPr>
              <w:t>638,642</w:t>
            </w:r>
            <w:r>
              <w:rPr>
                <w:rFonts w:ascii="Times New Roman" w:cs="Times New Roman" w:eastAsia="Times New Roman" w:hAnsi="Times New Roman"/>
                <w:sz w:val="23"/>
                <w:szCs w:val="23"/>
                <w:color w:val="auto"/>
                <w:w w:val="94"/>
                <w:vertAlign w:val="superscript"/>
              </w:rPr>
              <w:t>(2)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$0.6545</w:t>
            </w:r>
            <w:r>
              <w:rPr>
                <w:rFonts w:ascii="Times New Roman" w:cs="Times New Roman" w:eastAsia="Times New Roman" w:hAnsi="Times New Roman"/>
                <w:sz w:val="23"/>
                <w:szCs w:val="23"/>
                <w:color w:val="auto"/>
                <w:w w:val="94"/>
                <w:vertAlign w:val="superscript"/>
              </w:rPr>
              <w:t>(3)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$417,991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25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$417,991</w:t>
            </w:r>
          </w:p>
        </w:tc>
        <w:tc>
          <w:tcPr>
            <w:tcW w:w="14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0" w:type="dxa"/>
            <w:vAlign w:val="bottom"/>
          </w:tcPr>
          <w:p>
            <w:pPr>
              <w:spacing w:after="0"/>
              <w:rPr>
                <w:sz w:val="1"/>
                <w:szCs w:val="1"/>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25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9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Net Fee Due</w:t>
            </w: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0" w:type="dxa"/>
            <w:vAlign w:val="bottom"/>
          </w:tcPr>
          <w:p>
            <w:pPr>
              <w:spacing w:after="0"/>
              <w:rPr>
                <w:sz w:val="1"/>
                <w:szCs w:val="1"/>
                <w:color w:val="auto"/>
              </w:rPr>
            </w:pPr>
          </w:p>
        </w:tc>
      </w:tr>
      <w:tr>
        <w:trPr>
          <w:trHeight w:val="40"/>
        </w:trPr>
        <w:tc>
          <w:tcPr>
            <w:tcW w:w="900" w:type="dxa"/>
            <w:vAlign w:val="bottom"/>
            <w:tcBorders>
              <w:left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340" w:right="300" w:hanging="332"/>
        <w:spacing w:after="0" w:line="299"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of the Securities Act of 1933, as amended (the “Securities Act”), this Registration Statement shall also cover any additional shares of common stock, par value $0.001 per share (“Common Stock”) of Context Therapeutics Inc. (the “Company”) which become issuable by reason of any future stock dividend,</w:t>
      </w:r>
    </w:p>
    <w:p>
      <w:pPr>
        <w:ind w:left="340" w:right="4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split, recapitalization or other similar transaction or to cover such additional shares as may 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pacing w:after="0" w:line="1" w:lineRule="exact"/>
        <w:rPr>
          <w:rFonts w:ascii="Times New Roman" w:cs="Times New Roman" w:eastAsia="Times New Roman" w:hAnsi="Times New Roman"/>
          <w:sz w:val="16"/>
          <w:szCs w:val="16"/>
          <w:color w:val="auto"/>
        </w:rPr>
      </w:pPr>
    </w:p>
    <w:p>
      <w:pPr>
        <w:ind w:left="340" w:right="580" w:hanging="332"/>
        <w:spacing w:after="0" w:line="308"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of the Company that were added to the shares reserved under the Context Therapeutics Inc. 2021 Long-Term Performance Incentive Plan (the “2021 Plan”) on January 1, 2023, pursuant to an “evergreen” provision contained in the 2021 Plan.</w:t>
      </w:r>
    </w:p>
    <w:p>
      <w:pPr>
        <w:ind w:left="340" w:right="900" w:hanging="332"/>
        <w:spacing w:after="0" w:line="351"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 457(c) and Rule 457(h) of the Securities Act solely for the purpose of calculating the registration fee on the basis of the average of the high and low prices of the Company’s common stock as reported on the Nasdaq Stock Market on March 17, 2023.</w:t>
      </w:r>
    </w:p>
    <w:p>
      <w:pPr>
        <w:sectPr>
          <w:pgSz w:w="11900" w:h="16838" w:orient="portrait"/>
          <w:cols w:equalWidth="0" w:num="1">
            <w:col w:w="11260"/>
          </w:cols>
          <w:pgMar w:left="320" w:top="1440" w:right="319" w:bottom="1440" w:gutter="0" w:footer="0" w:header="0"/>
        </w:sectPr>
      </w:pPr>
    </w:p>
    <w:bookmarkStart w:id="7" w:name="page8"/>
    <w:bookmarkEnd w:id="7"/>
    <w:p>
      <w:pPr>
        <w:jc w:val="right"/>
        <w:ind w:right="80"/>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5357495" cy="934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535749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Faegre Drinker Biddle &amp; Reath LLP</w:t>
      </w:r>
    </w:p>
    <w:p>
      <w:pPr>
        <w:jc w:val="right"/>
        <w:ind w:right="80"/>
        <w:spacing w:after="0" w:line="203" w:lineRule="auto"/>
        <w:rPr>
          <w:sz w:val="20"/>
          <w:szCs w:val="20"/>
          <w:color w:val="auto"/>
        </w:rPr>
      </w:pPr>
      <w:r>
        <w:rPr>
          <w:rFonts w:ascii="Arial" w:cs="Arial" w:eastAsia="Arial" w:hAnsi="Arial"/>
          <w:sz w:val="14"/>
          <w:szCs w:val="14"/>
          <w:color w:val="auto"/>
        </w:rPr>
        <w:t>One Logan Square, Suite 200</w:t>
      </w:r>
    </w:p>
    <w:p>
      <w:pPr>
        <w:jc w:val="right"/>
        <w:ind w:right="80"/>
        <w:spacing w:after="0" w:line="221" w:lineRule="auto"/>
        <w:rPr>
          <w:sz w:val="20"/>
          <w:szCs w:val="20"/>
          <w:color w:val="auto"/>
        </w:rPr>
      </w:pPr>
      <w:r>
        <w:rPr>
          <w:rFonts w:ascii="Arial" w:cs="Arial" w:eastAsia="Arial" w:hAnsi="Arial"/>
          <w:sz w:val="14"/>
          <w:szCs w:val="14"/>
          <w:color w:val="auto"/>
        </w:rPr>
        <w:t>Philadelphia, Pennsylvania 19103</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+1 215 988 3330 main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Context Therapeutics Inc.</w:t>
      </w:r>
    </w:p>
    <w:p>
      <w:pPr>
        <w:spacing w:after="0" w:line="211" w:lineRule="auto"/>
        <w:rPr>
          <w:sz w:val="20"/>
          <w:szCs w:val="20"/>
          <w:color w:val="auto"/>
        </w:rPr>
      </w:pPr>
      <w:r>
        <w:rPr>
          <w:rFonts w:ascii="Times New Roman" w:cs="Times New Roman" w:eastAsia="Times New Roman" w:hAnsi="Times New Roman"/>
          <w:sz w:val="20"/>
          <w:szCs w:val="20"/>
          <w:color w:val="auto"/>
        </w:rPr>
        <w:t>2001 Market Street, Suite 3915, Unit #15</w:t>
      </w:r>
    </w:p>
    <w:p>
      <w:pPr>
        <w:spacing w:after="0"/>
        <w:rPr>
          <w:sz w:val="20"/>
          <w:szCs w:val="20"/>
          <w:color w:val="auto"/>
        </w:rPr>
      </w:pPr>
      <w:r>
        <w:rPr>
          <w:rFonts w:ascii="Times New Roman" w:cs="Times New Roman" w:eastAsia="Times New Roman" w:hAnsi="Times New Roman"/>
          <w:sz w:val="20"/>
          <w:szCs w:val="20"/>
          <w:color w:val="auto"/>
        </w:rPr>
        <w:t>Philadelphia, Pennsylvania 19103</w:t>
      </w:r>
    </w:p>
    <w:p>
      <w:pPr>
        <w:spacing w:after="0" w:line="17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Registration Statement on Form S-8</w:t>
      </w:r>
    </w:p>
    <w:p>
      <w:pPr>
        <w:ind w:left="400"/>
        <w:spacing w:after="0"/>
        <w:rPr>
          <w:sz w:val="20"/>
          <w:szCs w:val="20"/>
          <w:color w:val="auto"/>
        </w:rPr>
      </w:pPr>
      <w:r>
        <w:rPr>
          <w:rFonts w:ascii="Times New Roman" w:cs="Times New Roman" w:eastAsia="Times New Roman" w:hAnsi="Times New Roman"/>
          <w:sz w:val="20"/>
          <w:szCs w:val="20"/>
          <w:color w:val="auto"/>
        </w:rPr>
        <w:t>Context Therapeutics Inc. 2021 Long Term Equity Incentive Plan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We have acted as counsel to Context Therapeutics Inc., a Delaware corporation (the “Company”), in connection with the preparation and filing with the Securities and Exchange Commission (the “Commission”) of a Registration Statement on Form S-8 (the “Registration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Statement”) by the Company under the Securities Act of 1933, as amended (the “Act”). The Registration Statement registers the offer and sale of up to an additional 638,642 shares (the “Shares”) of the Company’s common stock, par value $0.001 per share, issuable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Context Therapeutics Inc. 2021 Long Term Equity Incentive Plan (the “2021 Plan”).</w:t>
      </w:r>
    </w:p>
    <w:p>
      <w:pPr>
        <w:spacing w:after="0" w:line="16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For purposes of this opinion letter, we have examined the 2021 Plan, the Registration Statement, the Amended and Restated Certificate of Incorporation of the Company, as currently in effect, the Amended and Restated Bylaws of the Company, as currently in effect, and the</w:t>
      </w:r>
    </w:p>
    <w:p>
      <w:pPr>
        <w:spacing w:after="0" w:line="212" w:lineRule="auto"/>
        <w:rPr>
          <w:sz w:val="20"/>
          <w:szCs w:val="20"/>
          <w:color w:val="auto"/>
        </w:rPr>
      </w:pPr>
      <w:r>
        <w:rPr>
          <w:rFonts w:ascii="Times New Roman" w:cs="Times New Roman" w:eastAsia="Times New Roman" w:hAnsi="Times New Roman"/>
          <w:sz w:val="20"/>
          <w:szCs w:val="20"/>
          <w:color w:val="auto"/>
        </w:rPr>
        <w:t>resolutions of the Company’s board of directors authorizing the issuance of the Shares. We have also examined a certificate of the Secretary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the Company dated the date hereof (the “Certificate”) and originals, or copies certified or otherwise authenticated to our satisfaction, of such corporate records and other records, agreements, instruments, certificates of public officials and documents as we have deemed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necessary as a basis for the opinions hereinafter expressed and have reviewed such matters of law as we have deemed relevant hereto. As to all issues of fact material to this opinion letter, we have relied on certificates, statements or representations of public officials, of officers and</w:t>
      </w:r>
    </w:p>
    <w:p>
      <w:pPr>
        <w:spacing w:after="0"/>
        <w:rPr>
          <w:sz w:val="20"/>
          <w:szCs w:val="20"/>
          <w:color w:val="auto"/>
        </w:rPr>
      </w:pPr>
      <w:r>
        <w:rPr>
          <w:rFonts w:ascii="Times New Roman" w:cs="Times New Roman" w:eastAsia="Times New Roman" w:hAnsi="Times New Roman"/>
          <w:sz w:val="20"/>
          <w:szCs w:val="20"/>
          <w:color w:val="auto"/>
        </w:rPr>
        <w:t>representatives of the Company (including the Certificate) and of others, without any independent verification thereof.</w:t>
      </w:r>
    </w:p>
    <w:p>
      <w:pPr>
        <w:spacing w:after="0" w:line="167"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In our examination, we have assumed: (i) the legal capacity of all natural persons; (ii) the genuineness of all signatures, including electronic signatures; (iii) the authenticity of all documents submitted to us as originals; (iv) the conformity to original documents of all documents</w:t>
      </w:r>
    </w:p>
    <w:p>
      <w:pPr>
        <w:spacing w:after="0" w:line="224" w:lineRule="auto"/>
        <w:rPr>
          <w:sz w:val="20"/>
          <w:szCs w:val="20"/>
          <w:color w:val="auto"/>
        </w:rPr>
      </w:pPr>
      <w:r>
        <w:rPr>
          <w:rFonts w:ascii="Times New Roman" w:cs="Times New Roman" w:eastAsia="Times New Roman" w:hAnsi="Times New Roman"/>
          <w:sz w:val="19"/>
          <w:szCs w:val="19"/>
          <w:color w:val="auto"/>
        </w:rPr>
        <w:t>submitted to us as certified, conformed, photostatic or facsimile copies; (v) the authenticity of the originals of such latter documents; (vi)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truth, accuracy and completeness of the information, representations and warranties contained in the agreements, documents, instruments, certificates and records we have reviewed; and (vii) the absence of any undisclosed modifications to the agreements and instruments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reviewed by us.</w:t>
      </w:r>
    </w:p>
    <w:p>
      <w:pPr>
        <w:spacing w:after="0" w:line="16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Based upon such examination and review, and subject to the foregoing and the other qualifications, assumptions and limitations set forth herein, it is our opinion that all necessary corporate action on the part of the Company has been taken to authorize the issuance and sale of the</w:t>
      </w:r>
    </w:p>
    <w:p>
      <w:pPr>
        <w:spacing w:after="0" w:line="211" w:lineRule="auto"/>
        <w:rPr>
          <w:sz w:val="20"/>
          <w:szCs w:val="20"/>
          <w:color w:val="auto"/>
        </w:rPr>
      </w:pPr>
      <w:r>
        <w:rPr>
          <w:rFonts w:ascii="Times New Roman" w:cs="Times New Roman" w:eastAsia="Times New Roman" w:hAnsi="Times New Roman"/>
          <w:sz w:val="20"/>
          <w:szCs w:val="20"/>
          <w:color w:val="auto"/>
        </w:rPr>
        <w:t>Shares to be issued in accordance with the 2021 Plan and that, when (a) the Shares have been issued and sold as contemplated in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Registration Statement and related prospectuses and in accordance with the 2021 Plan and any applicable award agreement, and (b) where applicable, the consideration for the Shares specified in the 2021 Plan and any applicable award agreement has been received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the Shares will be legally and validly issued, fully paid and nonassessable.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opinions are limited to the General Corporation Law of the State of Delaware.</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ectPr>
          <w:pgSz w:w="11900" w:h="16838" w:orient="portrait"/>
          <w:cols w:equalWidth="0" w:num="1">
            <w:col w:w="11240"/>
          </w:cols>
          <w:pgMar w:left="320" w:top="171"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 thereunder.</w:t>
      </w: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Faegre Drinker Biddle &amp; Reath LLP</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Walter Mostek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157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0"/>
          <w:szCs w:val="20"/>
          <w:color w:val="auto"/>
        </w:rPr>
        <w:t>Walter Mostek, Partner</w:t>
      </w:r>
    </w:p>
    <w:p>
      <w:pPr>
        <w:sectPr>
          <w:pgSz w:w="11900" w:h="16838" w:orient="portrait"/>
          <w:cols w:equalWidth="0" w:num="1">
            <w:col w:w="11240"/>
          </w:cols>
          <w:pgMar w:left="320" w:top="15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Context Therapeutics Inc. on Form S-8 of our report dated March 22, 2023 on our audits of the consolidated financial statements of Context Therapeutics Inc. and Subsidiaries as of December 31, 2022 and 2021 and for the years then ended, which report is included Context Therapeutics Inc.’s Annual Report on Form 10-K for the year ended December 31, 2022.</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New Jersey</w:t>
      </w:r>
    </w:p>
    <w:p>
      <w:pPr>
        <w:spacing w:after="0"/>
        <w:rPr>
          <w:sz w:val="20"/>
          <w:szCs w:val="20"/>
          <w:color w:val="auto"/>
        </w:rPr>
      </w:pPr>
      <w:r>
        <w:rPr>
          <w:rFonts w:ascii="Times New Roman" w:cs="Times New Roman" w:eastAsia="Times New Roman" w:hAnsi="Times New Roman"/>
          <w:sz w:val="18"/>
          <w:szCs w:val="18"/>
          <w:color w:val="auto"/>
        </w:rPr>
        <w:t>March 22,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jpeg"/><Relationship Id="rId18" Type="http://schemas.openxmlformats.org/officeDocument/2006/relationships/image" Target="media/image3.png"/><Relationship Id="rId8" Type="http://schemas.openxmlformats.org/officeDocument/2006/relationships/hyperlink" Target="https://www.sec.gov/ix?doc=/Archives/edgar/data/0001842952/000184295223000041/cntx-20221231.htm" TargetMode="External"/><Relationship Id="rId9" Type="http://schemas.openxmlformats.org/officeDocument/2006/relationships/hyperlink" Target="https://www.sec.gov/ix?doc=/Archives/edgar/data/1842952/000184295223000010/cntx-20230124.htm" TargetMode="External"/><Relationship Id="rId10" Type="http://schemas.openxmlformats.org/officeDocument/2006/relationships/hyperlink" Target="https://www.sec.gov/ix?doc=/Archives/edgar/data/0001842952/000184295223000040/cntx-20230317.htm" TargetMode="External"/><Relationship Id="rId11" Type="http://schemas.openxmlformats.org/officeDocument/2006/relationships/hyperlink" Target="https://www.sec.gov/Archives/edgar/data/1842952/000119312521223087/d192600d8a12b.htm" TargetMode="External"/><Relationship Id="rId12" Type="http://schemas.openxmlformats.org/officeDocument/2006/relationships/hyperlink" Target="https://www.sec.gov/Archives/edgar/data/1842952/000119312521305465/d251040dex31.htm" TargetMode="External"/><Relationship Id="rId13" Type="http://schemas.openxmlformats.org/officeDocument/2006/relationships/hyperlink" Target="https://www.sec.gov/Archives/edgar/data/1842952/000119312521305465/d251040dex32.htm" TargetMode="External"/><Relationship Id="rId14" Type="http://schemas.openxmlformats.org/officeDocument/2006/relationships/hyperlink" Target="https://www.sec.gov/Archives/edgar/data/1842952/000184295221000015/cntx-20210930x10qexhibit41.htm" TargetMode="External"/><Relationship Id="rId15" Type="http://schemas.openxmlformats.org/officeDocument/2006/relationships/hyperlink" Target="https://www.sec.gov/Archives/edgar/data/1842952/000119312521175568/d46596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2023-03-22T21:25:44Z</dcterms:created>
  <dcterms:modified xsi:type="dcterms:W3CDTF">2023-03-22T21:25:44Z</dcterms:modified>
</cp:coreProperties>
</file>