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filed with the Securities and Exchange Commission on July 1, 2021.</w:t>
      </w:r>
    </w:p>
    <w:p>
      <w:pPr>
        <w:spacing w:after="0" w:line="1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333-256572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jc w:val="center"/>
        <w:ind w:right="-119"/>
        <w:spacing w:after="0" w:line="237" w:lineRule="auto"/>
        <w:rPr>
          <w:sz w:val="20"/>
          <w:szCs w:val="20"/>
          <w:color w:val="auto"/>
        </w:rPr>
      </w:pPr>
      <w:r>
        <w:rPr>
          <w:rFonts w:ascii="Arial" w:cs="Arial" w:eastAsia="Arial" w:hAnsi="Arial"/>
          <w:sz w:val="32"/>
          <w:szCs w:val="32"/>
          <w:b w:val="1"/>
          <w:bCs w:val="1"/>
          <w:color w:val="auto"/>
        </w:rPr>
        <w:t>FORM S-1</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CONTEXT THERAPEUTICS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520" w:type="dxa"/>
            <w:vAlign w:val="bottom"/>
          </w:tcPr>
          <w:p>
            <w:pPr>
              <w:jc w:val="center"/>
              <w:ind w:right="562"/>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1900" w:type="dxa"/>
            <w:vAlign w:val="bottom"/>
          </w:tcPr>
          <w:p>
            <w:pPr>
              <w:jc w:val="center"/>
              <w:ind w:left="682"/>
              <w:spacing w:after="0"/>
              <w:rPr>
                <w:sz w:val="20"/>
                <w:szCs w:val="20"/>
                <w:color w:val="auto"/>
              </w:rPr>
            </w:pPr>
            <w:r>
              <w:rPr>
                <w:rFonts w:ascii="Arial" w:cs="Arial" w:eastAsia="Arial" w:hAnsi="Arial"/>
                <w:sz w:val="18"/>
                <w:szCs w:val="18"/>
                <w:b w:val="1"/>
                <w:bCs w:val="1"/>
                <w:color w:val="auto"/>
                <w:w w:val="89"/>
              </w:rPr>
              <w:t>47-2566423</w:t>
            </w:r>
          </w:p>
        </w:tc>
      </w:tr>
      <w:tr>
        <w:trPr>
          <w:trHeight w:val="149"/>
        </w:trPr>
        <w:tc>
          <w:tcPr>
            <w:tcW w:w="2520" w:type="dxa"/>
            <w:vAlign w:val="bottom"/>
          </w:tcPr>
          <w:p>
            <w:pPr>
              <w:jc w:val="center"/>
              <w:ind w:right="5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(Primary Standard Industrial Classification Code</w:t>
            </w:r>
          </w:p>
        </w:tc>
        <w:tc>
          <w:tcPr>
            <w:tcW w:w="1900" w:type="dxa"/>
            <w:vAlign w:val="bottom"/>
          </w:tcPr>
          <w:p>
            <w:pPr>
              <w:jc w:val="center"/>
              <w:ind w:left="6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520" w:type="dxa"/>
            <w:vAlign w:val="bottom"/>
          </w:tcPr>
          <w:p>
            <w:pPr>
              <w:jc w:val="center"/>
              <w:ind w:right="562"/>
              <w:spacing w:after="0"/>
              <w:rPr>
                <w:sz w:val="20"/>
                <w:szCs w:val="20"/>
                <w:color w:val="auto"/>
              </w:rPr>
            </w:pPr>
            <w:r>
              <w:rPr>
                <w:rFonts w:ascii="Arial" w:cs="Arial" w:eastAsia="Arial" w:hAnsi="Arial"/>
                <w:sz w:val="14"/>
                <w:szCs w:val="14"/>
                <w:b w:val="1"/>
                <w:bCs w:val="1"/>
                <w:color w:val="auto"/>
                <w:w w:val="94"/>
              </w:rPr>
              <w:t>incorporation or organization)</w:t>
            </w:r>
          </w:p>
        </w:tc>
        <w:tc>
          <w:tcPr>
            <w:tcW w:w="448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Number)</w:t>
            </w:r>
          </w:p>
        </w:tc>
        <w:tc>
          <w:tcPr>
            <w:tcW w:w="1900" w:type="dxa"/>
            <w:vAlign w:val="bottom"/>
          </w:tcPr>
          <w:p>
            <w:pPr>
              <w:jc w:val="center"/>
              <w:ind w:left="6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3675 Market Street, Suite 200</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Philadelphia, Pennsylvania 19104</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(267) 225-7416</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Martin Lehr</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3675 Market Street, Suite 200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Philadelphia, Pennsylvania 19104</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(267) 225-7416</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(Names,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tbl>
      <w:tblPr>
        <w:tblLayout w:type="fixed"/>
        <w:tblInd w:w="720" w:type="dxa"/>
        <w:tblCellMar>
          <w:top w:w="0" w:type="dxa"/>
          <w:left w:w="0" w:type="dxa"/>
          <w:bottom w:w="0" w:type="dxa"/>
          <w:right w:w="0" w:type="dxa"/>
        </w:tblCellMar>
      </w:tblPr>
      <w:tr>
        <w:trPr>
          <w:trHeight w:val="206"/>
        </w:trPr>
        <w:tc>
          <w:tcPr>
            <w:tcW w:w="3220" w:type="dxa"/>
            <w:vAlign w:val="bottom"/>
          </w:tcPr>
          <w:p>
            <w:pPr>
              <w:spacing w:after="0"/>
              <w:rPr>
                <w:sz w:val="17"/>
                <w:szCs w:val="17"/>
                <w:color w:val="auto"/>
              </w:rPr>
            </w:pPr>
          </w:p>
        </w:tc>
        <w:tc>
          <w:tcPr>
            <w:tcW w:w="3540" w:type="dxa"/>
            <w:vAlign w:val="bottom"/>
          </w:tcPr>
          <w:p>
            <w:pPr>
              <w:ind w:left="1340"/>
              <w:spacing w:after="0"/>
              <w:rPr>
                <w:sz w:val="20"/>
                <w:szCs w:val="20"/>
                <w:color w:val="auto"/>
              </w:rPr>
            </w:pPr>
            <w:r>
              <w:rPr>
                <w:rFonts w:ascii="Arial" w:cs="Arial" w:eastAsia="Arial" w:hAnsi="Arial"/>
                <w:sz w:val="16"/>
                <w:szCs w:val="16"/>
                <w:b w:val="1"/>
                <w:bCs w:val="1"/>
                <w:i w:val="1"/>
                <w:iCs w:val="1"/>
                <w:color w:val="auto"/>
              </w:rPr>
              <w:t>Copies to:</w:t>
            </w:r>
          </w:p>
        </w:tc>
        <w:tc>
          <w:tcPr>
            <w:tcW w:w="3360" w:type="dxa"/>
            <w:vAlign w:val="bottom"/>
          </w:tcPr>
          <w:p>
            <w:pPr>
              <w:spacing w:after="0"/>
              <w:rPr>
                <w:sz w:val="17"/>
                <w:szCs w:val="17"/>
                <w:color w:val="auto"/>
              </w:rPr>
            </w:pPr>
          </w:p>
        </w:tc>
      </w:tr>
      <w:tr>
        <w:trPr>
          <w:trHeight w:val="316"/>
        </w:trPr>
        <w:tc>
          <w:tcPr>
            <w:tcW w:w="3220" w:type="dxa"/>
            <w:vAlign w:val="bottom"/>
          </w:tcPr>
          <w:p>
            <w:pPr>
              <w:jc w:val="center"/>
              <w:ind w:right="599"/>
              <w:spacing w:after="0"/>
              <w:rPr>
                <w:sz w:val="20"/>
                <w:szCs w:val="20"/>
                <w:color w:val="auto"/>
              </w:rPr>
            </w:pPr>
            <w:r>
              <w:rPr>
                <w:rFonts w:ascii="Arial" w:cs="Arial" w:eastAsia="Arial" w:hAnsi="Arial"/>
                <w:sz w:val="16"/>
                <w:szCs w:val="16"/>
                <w:b w:val="1"/>
                <w:bCs w:val="1"/>
                <w:color w:val="auto"/>
                <w:w w:val="93"/>
              </w:rPr>
              <w:t>Walter J. Mostek, Esq.</w:t>
            </w:r>
          </w:p>
        </w:tc>
        <w:tc>
          <w:tcPr>
            <w:tcW w:w="3540" w:type="dxa"/>
            <w:vAlign w:val="bottom"/>
          </w:tcPr>
          <w:p>
            <w:pPr>
              <w:jc w:val="center"/>
              <w:ind w:left="99"/>
              <w:spacing w:after="0"/>
              <w:rPr>
                <w:sz w:val="20"/>
                <w:szCs w:val="20"/>
                <w:color w:val="auto"/>
              </w:rPr>
            </w:pPr>
            <w:r>
              <w:rPr>
                <w:rFonts w:ascii="Arial" w:cs="Arial" w:eastAsia="Arial" w:hAnsi="Arial"/>
                <w:sz w:val="16"/>
                <w:szCs w:val="16"/>
                <w:b w:val="1"/>
                <w:bCs w:val="1"/>
                <w:color w:val="auto"/>
                <w:w w:val="95"/>
              </w:rPr>
              <w:t>Alex Levit</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w w:val="95"/>
              </w:rPr>
              <w:t>William N. Haddad, Esq.</w:t>
            </w:r>
          </w:p>
        </w:tc>
      </w:tr>
      <w:tr>
        <w:trPr>
          <w:trHeight w:val="203"/>
        </w:trPr>
        <w:tc>
          <w:tcPr>
            <w:tcW w:w="3220" w:type="dxa"/>
            <w:vAlign w:val="bottom"/>
          </w:tcPr>
          <w:p>
            <w:pPr>
              <w:jc w:val="center"/>
              <w:ind w:right="599"/>
              <w:spacing w:after="0"/>
              <w:rPr>
                <w:sz w:val="20"/>
                <w:szCs w:val="20"/>
                <w:color w:val="auto"/>
              </w:rPr>
            </w:pPr>
            <w:r>
              <w:rPr>
                <w:rFonts w:ascii="Arial" w:cs="Arial" w:eastAsia="Arial" w:hAnsi="Arial"/>
                <w:sz w:val="16"/>
                <w:szCs w:val="16"/>
                <w:b w:val="1"/>
                <w:bCs w:val="1"/>
                <w:color w:val="auto"/>
                <w:w w:val="89"/>
              </w:rPr>
              <w:t>Ben A. Stacke, Esq.</w:t>
            </w:r>
          </w:p>
        </w:tc>
        <w:tc>
          <w:tcPr>
            <w:tcW w:w="3540" w:type="dxa"/>
            <w:vAlign w:val="bottom"/>
          </w:tcPr>
          <w:p>
            <w:pPr>
              <w:jc w:val="center"/>
              <w:ind w:left="79"/>
              <w:spacing w:after="0"/>
              <w:rPr>
                <w:sz w:val="20"/>
                <w:szCs w:val="20"/>
                <w:color w:val="auto"/>
              </w:rPr>
            </w:pPr>
            <w:r>
              <w:rPr>
                <w:rFonts w:ascii="Arial" w:cs="Arial" w:eastAsia="Arial" w:hAnsi="Arial"/>
                <w:sz w:val="16"/>
                <w:szCs w:val="16"/>
                <w:b w:val="1"/>
                <w:bCs w:val="1"/>
                <w:color w:val="auto"/>
                <w:w w:val="94"/>
              </w:rPr>
              <w:t>Chief Legal Officer</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w w:val="93"/>
              </w:rPr>
              <w:t>Venable, LLP</w:t>
            </w:r>
          </w:p>
        </w:tc>
      </w:tr>
      <w:tr>
        <w:trPr>
          <w:trHeight w:val="203"/>
        </w:trPr>
        <w:tc>
          <w:tcPr>
            <w:tcW w:w="3220" w:type="dxa"/>
            <w:vAlign w:val="bottom"/>
          </w:tcPr>
          <w:p>
            <w:pPr>
              <w:jc w:val="center"/>
              <w:ind w:right="599"/>
              <w:spacing w:after="0"/>
              <w:rPr>
                <w:sz w:val="20"/>
                <w:szCs w:val="20"/>
                <w:color w:val="auto"/>
              </w:rPr>
            </w:pPr>
            <w:r>
              <w:rPr>
                <w:rFonts w:ascii="Arial" w:cs="Arial" w:eastAsia="Arial" w:hAnsi="Arial"/>
                <w:sz w:val="16"/>
                <w:szCs w:val="16"/>
                <w:b w:val="1"/>
                <w:bCs w:val="1"/>
                <w:color w:val="auto"/>
                <w:w w:val="95"/>
              </w:rPr>
              <w:t>Faegre Drinker Biddle &amp; Reath LLP</w:t>
            </w:r>
          </w:p>
        </w:tc>
        <w:tc>
          <w:tcPr>
            <w:tcW w:w="3540" w:type="dxa"/>
            <w:vAlign w:val="bottom"/>
          </w:tcPr>
          <w:p>
            <w:pPr>
              <w:jc w:val="center"/>
              <w:ind w:left="79"/>
              <w:spacing w:after="0"/>
              <w:rPr>
                <w:sz w:val="20"/>
                <w:szCs w:val="20"/>
                <w:color w:val="auto"/>
              </w:rPr>
            </w:pPr>
            <w:r>
              <w:rPr>
                <w:rFonts w:ascii="Arial" w:cs="Arial" w:eastAsia="Arial" w:hAnsi="Arial"/>
                <w:sz w:val="16"/>
                <w:szCs w:val="16"/>
                <w:b w:val="1"/>
                <w:bCs w:val="1"/>
                <w:color w:val="auto"/>
                <w:w w:val="93"/>
              </w:rPr>
              <w:t>3675 Market Street, Suite 200</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w w:val="91"/>
              </w:rPr>
              <w:t>1270 Avenue of the Americas, 24th Floor</w:t>
            </w:r>
          </w:p>
        </w:tc>
      </w:tr>
      <w:tr>
        <w:trPr>
          <w:trHeight w:val="203"/>
        </w:trPr>
        <w:tc>
          <w:tcPr>
            <w:tcW w:w="322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One Logan Square</w:t>
            </w:r>
          </w:p>
        </w:tc>
        <w:tc>
          <w:tcPr>
            <w:tcW w:w="354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Philadelphia, Pennsylvania 19104</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w w:val="93"/>
              </w:rPr>
              <w:t>New York, New York 10020</w:t>
            </w:r>
          </w:p>
        </w:tc>
      </w:tr>
      <w:tr>
        <w:trPr>
          <w:trHeight w:val="203"/>
        </w:trPr>
        <w:tc>
          <w:tcPr>
            <w:tcW w:w="3220" w:type="dxa"/>
            <w:vAlign w:val="bottom"/>
          </w:tcPr>
          <w:p>
            <w:pPr>
              <w:jc w:val="center"/>
              <w:ind w:right="619"/>
              <w:spacing w:after="0"/>
              <w:rPr>
                <w:sz w:val="20"/>
                <w:szCs w:val="20"/>
                <w:color w:val="auto"/>
              </w:rPr>
            </w:pPr>
            <w:r>
              <w:rPr>
                <w:rFonts w:ascii="Arial" w:cs="Arial" w:eastAsia="Arial" w:hAnsi="Arial"/>
                <w:sz w:val="16"/>
                <w:szCs w:val="16"/>
                <w:b w:val="1"/>
                <w:bCs w:val="1"/>
                <w:color w:val="auto"/>
                <w:w w:val="91"/>
              </w:rPr>
              <w:t>Philadelphia, Pennsylvania 19103</w:t>
            </w:r>
          </w:p>
        </w:tc>
        <w:tc>
          <w:tcPr>
            <w:tcW w:w="3540" w:type="dxa"/>
            <w:vAlign w:val="bottom"/>
          </w:tcPr>
          <w:p>
            <w:pPr>
              <w:jc w:val="center"/>
              <w:ind w:left="99"/>
              <w:spacing w:after="0"/>
              <w:rPr>
                <w:sz w:val="20"/>
                <w:szCs w:val="20"/>
                <w:color w:val="auto"/>
              </w:rPr>
            </w:pPr>
            <w:r>
              <w:rPr>
                <w:rFonts w:ascii="Arial" w:cs="Arial" w:eastAsia="Arial" w:hAnsi="Arial"/>
                <w:sz w:val="16"/>
                <w:szCs w:val="16"/>
                <w:b w:val="1"/>
                <w:bCs w:val="1"/>
                <w:color w:val="auto"/>
                <w:w w:val="92"/>
              </w:rPr>
              <w:t>Tel: (267) 225-7416</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w w:val="91"/>
              </w:rPr>
              <w:t>Tel.: (212) 503-9812</w:t>
            </w:r>
          </w:p>
        </w:tc>
      </w:tr>
      <w:tr>
        <w:trPr>
          <w:trHeight w:val="210"/>
        </w:trPr>
        <w:tc>
          <w:tcPr>
            <w:tcW w:w="3220" w:type="dxa"/>
            <w:vAlign w:val="bottom"/>
          </w:tcPr>
          <w:p>
            <w:pPr>
              <w:jc w:val="center"/>
              <w:ind w:right="619"/>
              <w:spacing w:after="0"/>
              <w:rPr>
                <w:sz w:val="20"/>
                <w:szCs w:val="20"/>
                <w:color w:val="auto"/>
              </w:rPr>
            </w:pPr>
            <w:r>
              <w:rPr>
                <w:rFonts w:ascii="Arial" w:cs="Arial" w:eastAsia="Arial" w:hAnsi="Arial"/>
                <w:sz w:val="16"/>
                <w:szCs w:val="16"/>
                <w:b w:val="1"/>
                <w:bCs w:val="1"/>
                <w:color w:val="auto"/>
                <w:w w:val="92"/>
              </w:rPr>
              <w:t>Tel.: (215) 988-3330</w:t>
            </w:r>
          </w:p>
        </w:tc>
        <w:tc>
          <w:tcPr>
            <w:tcW w:w="354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158115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86"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48" w:lineRule="exact"/>
        <w:rPr>
          <w:sz w:val="24"/>
          <w:szCs w:val="24"/>
          <w:color w:val="auto"/>
        </w:rPr>
      </w:pPr>
    </w:p>
    <w:p>
      <w:pPr>
        <w:jc w:val="both"/>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2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7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553"/>
        </w:trPr>
        <w:tc>
          <w:tcPr>
            <w:tcW w:w="2080" w:type="dxa"/>
            <w:vAlign w:val="bottom"/>
            <w:gridSpan w:val="2"/>
          </w:tcPr>
          <w:p>
            <w:pPr>
              <w:ind w:left="120"/>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80" w:type="dxa"/>
            <w:vAlign w:val="bottom"/>
            <w:gridSpan w:val="2"/>
          </w:tcPr>
          <w:p>
            <w:pPr>
              <w:ind w:left="120"/>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4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ind w:left="7"/>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3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3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9"/>
              </w:rPr>
              <w:t>Offering</w:t>
            </w:r>
          </w:p>
        </w:tc>
        <w:tc>
          <w:tcPr>
            <w:tcW w:w="18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7300" w:type="dxa"/>
            <w:vAlign w:val="bottom"/>
            <w:tcBorders>
              <w:bottom w:val="single" w:sz="8" w:color="auto"/>
              <w:right w:val="single" w:sz="8" w:color="auto"/>
            </w:tcBorders>
          </w:tcPr>
          <w:p>
            <w:pPr>
              <w:ind w:left="2580"/>
              <w:spacing w:after="0"/>
              <w:rPr>
                <w:sz w:val="20"/>
                <w:szCs w:val="20"/>
                <w:color w:val="auto"/>
              </w:rPr>
            </w:pPr>
            <w:r>
              <w:rPr>
                <w:rFonts w:ascii="Arial" w:cs="Arial" w:eastAsia="Arial" w:hAnsi="Arial"/>
                <w:sz w:val="14"/>
                <w:szCs w:val="14"/>
                <w:b w:val="1"/>
                <w:bCs w:val="1"/>
                <w:color w:val="auto"/>
              </w:rPr>
              <w:t>Title of Securities to be 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Price (1)(2)</w:t>
            </w:r>
          </w:p>
        </w:tc>
        <w:tc>
          <w:tcPr>
            <w:tcW w:w="186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3"/>
              </w:rPr>
              <w:t>Fee (2)(3)</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8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91"/>
              </w:rPr>
              <w:t>$22,425,000.00</w:t>
            </w:r>
          </w:p>
        </w:tc>
        <w:tc>
          <w:tcPr>
            <w:tcW w:w="1860" w:type="dxa"/>
            <w:vAlign w:val="bottom"/>
            <w:tcBorders>
              <w:bottom w:val="single" w:sz="8" w:color="auto"/>
            </w:tcBorders>
          </w:tcPr>
          <w:p>
            <w:pPr>
              <w:jc w:val="center"/>
              <w:ind w:left="24"/>
              <w:spacing w:after="0"/>
              <w:rPr>
                <w:sz w:val="20"/>
                <w:szCs w:val="20"/>
                <w:color w:val="auto"/>
              </w:rPr>
            </w:pPr>
            <w:r>
              <w:rPr>
                <w:rFonts w:ascii="Arial" w:cs="Arial" w:eastAsia="Arial" w:hAnsi="Arial"/>
                <w:sz w:val="18"/>
                <w:szCs w:val="18"/>
                <w:color w:val="auto"/>
                <w:w w:val="89"/>
              </w:rPr>
              <w:t>$ 2,446.57</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454025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determining the amount of registration fee in accordance with Rule 457(o) under the Securities Act of 1933.</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the aggregate offering price of additional shares that the underwriter has the option to purchase to cover over-allotments, if any.</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paid $1636.50 in connection with the previous filing of this registration statement.</w:t>
      </w:r>
    </w:p>
    <w:p>
      <w:pPr>
        <w:spacing w:after="0" w:line="207" w:lineRule="exact"/>
        <w:rPr>
          <w:sz w:val="20"/>
          <w:szCs w:val="20"/>
          <w:color w:val="auto"/>
        </w:rPr>
      </w:pPr>
    </w:p>
    <w:p>
      <w:pPr>
        <w:ind w:left="120" w:right="2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7003415" cy="128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1285875"/>
                    </a:xfrm>
                    <a:prstGeom prst="rect">
                      <a:avLst/>
                    </a:prstGeom>
                    <a:noFill/>
                  </pic:spPr>
                </pic:pic>
              </a:graphicData>
            </a:graphic>
          </wp:anchor>
        </w:drawing>
      </w:r>
    </w:p>
    <w:p>
      <w:pPr>
        <w:spacing w:after="0" w:line="205" w:lineRule="exact"/>
        <w:rPr>
          <w:sz w:val="20"/>
          <w:szCs w:val="20"/>
          <w:color w:val="auto"/>
        </w:rPr>
      </w:pPr>
    </w:p>
    <w:p>
      <w:pPr>
        <w:ind w:left="280" w:right="80"/>
        <w:spacing w:after="0" w:line="255" w:lineRule="auto"/>
        <w:rPr>
          <w:sz w:val="20"/>
          <w:szCs w:val="20"/>
          <w:color w:val="auto"/>
        </w:rPr>
      </w:pPr>
      <w:r>
        <w:rPr>
          <w:rFonts w:ascii="Arial" w:cs="Arial" w:eastAsia="Arial" w:hAnsi="Arial"/>
          <w:sz w:val="18"/>
          <w:szCs w:val="18"/>
          <w:b w:val="1"/>
          <w:bCs w:val="1"/>
          <w:color w:val="auto"/>
        </w:rPr>
        <w:t>On April 23, 2021, we completed a reverse triangular merger, resulting in Context Therapeutics Inc. becoming the sole holder of 100% of the membership interests in Context Therapeutics LLC, and which resulted in all of the common units, preferred units and all options, warrants or other rights to purchase common or preferred units of Context Therapeutics LLC converting into common stock, preferred stock and all options, warrants or other rights to purchase common or preferred stock of Context Therapeutics Inc. (the “reorganization”). Except as disclosed in the accompanying prospectus, the consolidated financial statements and selected historical consolidated financial data and other financial information included in this registration statement are those of Context Therapeutics LLC and do not give effect to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4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314" w:lineRule="auto"/>
        <w:rPr>
          <w:sz w:val="20"/>
          <w:szCs w:val="20"/>
          <w:color w:val="auto"/>
        </w:rPr>
      </w:pPr>
      <w:r>
        <w:rPr>
          <w:rFonts w:ascii="Arial" w:cs="Arial" w:eastAsia="Arial" w:hAnsi="Arial"/>
          <w:sz w:val="16"/>
          <w:szCs w:val="16"/>
          <w:b w:val="1"/>
          <w:bCs w:val="1"/>
          <w:color w:val="FF4338"/>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offers to buy these securities in any state where the offer or sale of these securities is not permitted.</w:t>
      </w:r>
    </w:p>
    <w:p>
      <w:pPr>
        <w:spacing w:after="0" w:line="51" w:lineRule="exact"/>
        <w:rPr>
          <w:sz w:val="20"/>
          <w:szCs w:val="20"/>
          <w:color w:val="auto"/>
        </w:rPr>
      </w:pPr>
    </w:p>
    <w:p>
      <w:pPr>
        <w:ind w:left="120"/>
        <w:spacing w:after="0"/>
        <w:tabs>
          <w:tab w:leader="none" w:pos="4180" w:val="left"/>
          <w:tab w:leader="none" w:pos="7920" w:val="left"/>
        </w:tabs>
        <w:rPr>
          <w:sz w:val="20"/>
          <w:szCs w:val="20"/>
          <w:color w:val="auto"/>
        </w:rPr>
      </w:pPr>
      <w:r>
        <w:rPr>
          <w:rFonts w:ascii="Arial" w:cs="Arial" w:eastAsia="Arial" w:hAnsi="Arial"/>
          <w:sz w:val="18"/>
          <w:szCs w:val="18"/>
          <w:color w:val="FF4338"/>
        </w:rPr>
        <w:t>PRELIMINARY PROSPECTUS</w:t>
      </w:r>
      <w:r>
        <w:rPr>
          <w:sz w:val="20"/>
          <w:szCs w:val="20"/>
          <w:color w:val="auto"/>
        </w:rPr>
        <w:tab/>
      </w:r>
      <w:r>
        <w:rPr>
          <w:rFonts w:ascii="Arial" w:cs="Arial" w:eastAsia="Arial" w:hAnsi="Arial"/>
          <w:sz w:val="18"/>
          <w:szCs w:val="18"/>
          <w:color w:val="FF4338"/>
        </w:rPr>
        <w:t>SUBJECT TO COMPLETION</w:t>
      </w:r>
      <w:r>
        <w:rPr>
          <w:sz w:val="20"/>
          <w:szCs w:val="20"/>
          <w:color w:val="auto"/>
        </w:rPr>
        <w:tab/>
      </w:r>
      <w:r>
        <w:rPr>
          <w:rFonts w:ascii="Arial" w:cs="Arial" w:eastAsia="Arial" w:hAnsi="Arial"/>
          <w:sz w:val="16"/>
          <w:szCs w:val="16"/>
          <w:color w:val="FF4338"/>
        </w:rPr>
        <w:t>DATED JULY 1, 2021</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1,500,000 Shares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174625</wp:posOffset>
            </wp:positionV>
            <wp:extent cx="2288540" cy="754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85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Context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212725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This is the initial public offering of shares of common stock of Context Therapeutics Inc. We currently operate as a Delaware corporation under the name Context Therapeutics Inc. Prior to this offering, there has been no public market for our common stock. We anticipate that the initial public offering price of our shares will be between $12.00 and $14.00 per share.</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have applied to have our common stock listed for trading on the Nasdaq Capital Market under the symbol “CNTX.” Following this offering, we will have one class of common stock.</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have elected to comply with certain reduced public company reporting requirements.</w:t>
      </w:r>
    </w:p>
    <w:p>
      <w:pPr>
        <w:spacing w:after="0" w:line="166" w:lineRule="exact"/>
        <w:rPr>
          <w:sz w:val="20"/>
          <w:szCs w:val="20"/>
          <w:color w:val="auto"/>
        </w:rPr>
      </w:pPr>
    </w:p>
    <w:p>
      <w:pPr>
        <w:ind w:left="120" w:right="1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of this prospectus to read about factors you should consider before buying shares of our common stock.</w:t>
      </w:r>
    </w:p>
    <w:p>
      <w:pPr>
        <w:spacing w:after="0" w:line="162"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36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660" w:right="460" w:hanging="54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we have agreed to reimburse the underwriter for certain expenses. See the section titled “Underwriting” for a description of the compensation and other items of value payable to the underwriter.</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have granted the underwriter an option for a period of 45 days from the date of this prospectus to purchase up to an additional 225,000 shares of our common stock to cover over-allotments, if any.</w:t>
      </w:r>
    </w:p>
    <w:p>
      <w:pPr>
        <w:spacing w:after="0" w:line="170" w:lineRule="exact"/>
        <w:rPr>
          <w:sz w:val="20"/>
          <w:szCs w:val="20"/>
          <w:color w:val="auto"/>
        </w:rPr>
      </w:pPr>
    </w:p>
    <w:p>
      <w:pPr>
        <w:ind w:left="120"/>
        <w:spacing w:after="0"/>
        <w:tabs>
          <w:tab w:leader="none" w:pos="5920" w:val="left"/>
        </w:tabs>
        <w:rPr>
          <w:sz w:val="20"/>
          <w:szCs w:val="20"/>
          <w:color w:val="auto"/>
        </w:rPr>
      </w:pPr>
      <w:r>
        <w:rPr>
          <w:rFonts w:ascii="Arial" w:cs="Arial" w:eastAsia="Arial" w:hAnsi="Arial"/>
          <w:sz w:val="18"/>
          <w:szCs w:val="18"/>
          <w:color w:val="auto"/>
        </w:rPr>
        <w:t>The underwriter expects to deliver the shares to purchasers on or about</w:t>
      </w:r>
      <w:r>
        <w:rPr>
          <w:sz w:val="20"/>
          <w:szCs w:val="20"/>
          <w:color w:val="auto"/>
        </w:rPr>
        <w:tab/>
      </w:r>
      <w:r>
        <w:rPr>
          <w:rFonts w:ascii="Arial" w:cs="Arial" w:eastAsia="Arial" w:hAnsi="Arial"/>
          <w:sz w:val="16"/>
          <w:szCs w:val="16"/>
          <w:color w:val="auto"/>
        </w:rPr>
        <w:t>, 2021, subject to customary closing conditions.</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Certain of our existing stockholders, including certain of our directors and officers and entities affiliated with certain of our directors, have indicated an interest in purchasing an aggregate of up to approximately $1.0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ThinkEquity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division of Fordham Financial Management, Inc.</w:t>
      </w:r>
    </w:p>
    <w:p>
      <w:pPr>
        <w:spacing w:after="0" w:line="121"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6"/>
          <w:szCs w:val="16"/>
          <w:color w:val="auto"/>
        </w:rPr>
        <w:t>, 2021</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220345</wp:posOffset>
            </wp:positionV>
            <wp:extent cx="5186045" cy="5768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6045" cy="576897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6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gridSpan w:val="4"/>
          </w:tcPr>
          <w:p>
            <w:pPr>
              <w:ind w:left="74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527"/>
        </w:trPr>
        <w:tc>
          <w:tcPr>
            <w:tcW w:w="12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2140" w:type="dxa"/>
            <w:vAlign w:val="bottom"/>
            <w:tcBorders>
              <w:top w:val="single" w:sz="8" w:color="0000EE"/>
            </w:tcBorders>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820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SPECIAL NOTE REGARDING FORWARD-LOOKING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16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USE OF PROCEEDS</w:t>
              </w:r>
            </w:hyperlink>
          </w:p>
        </w:tc>
        <w:tc>
          <w:tcPr>
            <w:tcW w:w="3720" w:type="dxa"/>
            <w:vAlign w:val="bottom"/>
            <w:tcBorders>
              <w:top w:val="single" w:sz="8" w:color="0000EE"/>
            </w:tcBorders>
            <w:gridSpan w:val="8"/>
          </w:tcPr>
          <w:p>
            <w:pPr>
              <w:spacing w:after="0"/>
              <w:rPr>
                <w:sz w:val="24"/>
                <w:szCs w:val="24"/>
                <w:color w:val="auto"/>
              </w:rPr>
            </w:pPr>
          </w:p>
        </w:tc>
        <w:tc>
          <w:tcPr>
            <w:tcW w:w="502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DIVIDEND POLICY</w:t>
              </w:r>
            </w:hyperlink>
          </w:p>
        </w:tc>
        <w:tc>
          <w:tcPr>
            <w:tcW w:w="876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20" w:type="dxa"/>
            <w:vAlign w:val="bottom"/>
          </w:tcPr>
          <w:p>
            <w:pPr>
              <w:spacing w:after="0"/>
              <w:rPr>
                <w:sz w:val="24"/>
                <w:szCs w:val="24"/>
                <w:color w:val="auto"/>
              </w:rPr>
            </w:pPr>
          </w:p>
        </w:tc>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CAPITALIZATION</w:t>
              </w:r>
            </w:hyperlink>
          </w:p>
        </w:tc>
        <w:tc>
          <w:tcPr>
            <w:tcW w:w="886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2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DILUTION</w:t>
              </w:r>
            </w:hyperlink>
          </w:p>
        </w:tc>
        <w:tc>
          <w:tcPr>
            <w:tcW w:w="9480" w:type="dxa"/>
            <w:vAlign w:val="bottom"/>
            <w:gridSpan w:val="1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2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20" w:type="dxa"/>
            <w:vAlign w:val="bottom"/>
          </w:tcPr>
          <w:p>
            <w:pPr>
              <w:spacing w:after="0"/>
              <w:rPr>
                <w:sz w:val="24"/>
                <w:szCs w:val="24"/>
                <w:color w:val="auto"/>
              </w:rPr>
            </w:pPr>
          </w:p>
        </w:tc>
        <w:tc>
          <w:tcPr>
            <w:tcW w:w="8900" w:type="dxa"/>
            <w:vAlign w:val="bottom"/>
            <w:tcBorders>
              <w:top w:val="single" w:sz="8" w:color="0000EE"/>
            </w:tcBorders>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BUSINESS</w:t>
              </w:r>
            </w:hyperlink>
          </w:p>
        </w:tc>
        <w:tc>
          <w:tcPr>
            <w:tcW w:w="144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MANAGEMENT</w:t>
              </w:r>
            </w:hyperlink>
          </w:p>
        </w:tc>
        <w:tc>
          <w:tcPr>
            <w:tcW w:w="9040" w:type="dxa"/>
            <w:vAlign w:val="bottom"/>
            <w:gridSpan w:val="1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4"/>
        </w:trPr>
        <w:tc>
          <w:tcPr>
            <w:tcW w:w="120" w:type="dxa"/>
            <w:vAlign w:val="bottom"/>
          </w:tcPr>
          <w:p>
            <w:pPr>
              <w:spacing w:after="0"/>
              <w:rPr>
                <w:sz w:val="24"/>
                <w:szCs w:val="24"/>
                <w:color w:val="auto"/>
              </w:rPr>
            </w:pPr>
          </w:p>
        </w:tc>
        <w:tc>
          <w:tcPr>
            <w:tcW w:w="24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EXECUTIVE COMPENSATION</w:t>
              </w:r>
            </w:hyperlink>
          </w:p>
        </w:tc>
        <w:tc>
          <w:tcPr>
            <w:tcW w:w="790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04"/>
        </w:trPr>
        <w:tc>
          <w:tcPr>
            <w:tcW w:w="120" w:type="dxa"/>
            <w:vAlign w:val="bottom"/>
          </w:tcPr>
          <w:p>
            <w:pPr>
              <w:spacing w:after="0"/>
              <w:rPr>
                <w:sz w:val="24"/>
                <w:szCs w:val="24"/>
                <w:color w:val="auto"/>
              </w:rPr>
            </w:pPr>
          </w:p>
        </w:tc>
        <w:tc>
          <w:tcPr>
            <w:tcW w:w="238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24">
              <w:r>
                <w:rPr>
                  <w:rFonts w:ascii="Arial" w:cs="Arial" w:eastAsia="Arial" w:hAnsi="Arial"/>
                  <w:sz w:val="18"/>
                  <w:szCs w:val="18"/>
                  <w:color w:val="0000EE"/>
                  <w:w w:val="94"/>
                </w:rPr>
                <w:t>PRINCIPAL STOCKHOLDERS</w:t>
              </w:r>
            </w:hyperlink>
          </w:p>
        </w:tc>
        <w:tc>
          <w:tcPr>
            <w:tcW w:w="796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120" w:type="dxa"/>
            <w:vAlign w:val="bottom"/>
          </w:tcPr>
          <w:p>
            <w:pPr>
              <w:spacing w:after="0"/>
              <w:rPr>
                <w:sz w:val="24"/>
                <w:szCs w:val="24"/>
                <w:color w:val="auto"/>
              </w:rPr>
            </w:pPr>
          </w:p>
        </w:tc>
        <w:tc>
          <w:tcPr>
            <w:tcW w:w="35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TRANSACTIONS WITH RELATED PERSONS</w:t>
              </w:r>
            </w:hyperlink>
          </w:p>
        </w:tc>
        <w:tc>
          <w:tcPr>
            <w:tcW w:w="678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04"/>
        </w:trPr>
        <w:tc>
          <w:tcPr>
            <w:tcW w:w="12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DESCRIPTION OF CAPITAL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1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36">
              <w:r>
                <w:rPr>
                  <w:rFonts w:ascii="Arial" w:cs="Arial" w:eastAsia="Arial" w:hAnsi="Arial"/>
                  <w:sz w:val="18"/>
                  <w:szCs w:val="18"/>
                  <w:color w:val="0000EE"/>
                  <w:w w:val="95"/>
                </w:rPr>
                <w:t>SHARES ELIGIBLE FOR FUTURE SALE</w:t>
              </w:r>
            </w:hyperlink>
          </w:p>
        </w:tc>
        <w:tc>
          <w:tcPr>
            <w:tcW w:w="716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04"/>
        </w:trPr>
        <w:tc>
          <w:tcPr>
            <w:tcW w:w="12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38">
              <w:r>
                <w:rPr>
                  <w:rFonts w:ascii="Arial" w:cs="Arial" w:eastAsia="Arial" w:hAnsi="Arial"/>
                  <w:sz w:val="18"/>
                  <w:szCs w:val="18"/>
                  <w:color w:val="0000EE"/>
                  <w:w w:val="95"/>
                </w:rPr>
                <w:t>MATERIAL U.S. FEDERAL INCOME TAX CONSEQUENCES TO NON-U.S. HOLDERS OF THE COMPANY’S COMMON STOCK</w:t>
              </w:r>
            </w:hyperlink>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UNDERWRITING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151">
              <w:r>
                <w:rPr>
                  <w:rFonts w:ascii="Arial" w:cs="Arial" w:eastAsia="Arial" w:hAnsi="Arial"/>
                  <w:sz w:val="18"/>
                  <w:szCs w:val="18"/>
                  <w:color w:val="0000EE"/>
                  <w:w w:val="96"/>
                </w:rPr>
                <w:t>LEGAL MATTERS</w:t>
              </w:r>
            </w:hyperlink>
          </w:p>
        </w:tc>
        <w:tc>
          <w:tcPr>
            <w:tcW w:w="888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12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WHERE YOU CAN FIND MORE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120" w:type="dxa"/>
            <w:vAlign w:val="bottom"/>
          </w:tcPr>
          <w:p>
            <w:pPr>
              <w:spacing w:after="0"/>
              <w:rPr>
                <w:sz w:val="24"/>
                <w:szCs w:val="24"/>
                <w:color w:val="auto"/>
              </w:rPr>
            </w:pPr>
          </w:p>
        </w:tc>
        <w:tc>
          <w:tcPr>
            <w:tcW w:w="3800" w:type="dxa"/>
            <w:vAlign w:val="bottom"/>
            <w:tcBorders>
              <w:top w:val="single" w:sz="8" w:color="0000EE"/>
            </w:tcBorders>
            <w:gridSpan w:val="17"/>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FINANCIAL STATEMENTS</w:t>
              </w:r>
            </w:hyperlink>
          </w:p>
        </w:tc>
        <w:tc>
          <w:tcPr>
            <w:tcW w:w="654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firstLine="44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this prospectus or contained in any free writing prospectus filed with the Securities and Exchange Commission. Neither we nor the underwriter have authorized anyone to provide any information or to make any representations other than those contained in this prospectus or in any free writing prospectuses we have prepared. Neither we nor the underwriter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common stock. Our business, financial condition, results of operations and prospects may have changed since such date.</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investors outside the United States: Neither we nor the underwriter have taken any action to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1120"/>
          </w:cols>
          <w:pgMar w:left="320" w:top="44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w:t>
      </w:r>
    </w:p>
    <w:p>
      <w:pPr>
        <w:spacing w:after="0" w:line="12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estimates are derived from publicly available information released by third party sources, as well as data from our internal research, and are based on such data and our knowledge of our industry, which we believe to be reasonable. The independent industry publications used in this prospectus were not prepared on our behalf. While we are not aware of any misstatements regarding any information presented in this prospectus, forecasts, assumptions, expectations, beliefs, estimates and projects involve risk and uncertainties and are subject to change based on various factors, including those described under the headings “Special Note Regarding Forward-Looking Statements” and “Risk Factors.”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TRADE NAMES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We own or have rights to trademarks, service marks and trade names that we use in connection with the operation of our business.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 PRESENTATION</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On April 23, 2021, we completed a reverse triangular merger, resulting in Context Therapeutics Inc. becoming the sole holder of 100% of the membership interests in Context Therapeutics LLC, and which resulted in all of the common units, preferred units and all options, warrants or other rights to purchase common or preferred units of Context Therapeutics LLC converting into common stock, preferred stock and all options, warrants or other rights to purchase common or preferred stock of Context Therapeutics Inc. In this prospectus, we refer to this transaction as the “reorganization.”</w:t>
      </w:r>
    </w:p>
    <w:p>
      <w:pPr>
        <w:spacing w:after="0" w:line="15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 them.</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i w:val="1"/>
          <w:iCs w:val="1"/>
          <w:color w:val="auto"/>
        </w:rPr>
        <w:t>This summary highlights information that we present more fully in the rest of this prospectus. This summary does not contain all of the information you should consider before buying our shares in this offering. This summary contains forward-looking statements that involve risks and uncertainties, such as statements about our plans, objectives, expectations, assumptions or future events. These statements involve estimates, assumptions, known and unknown risks, uncertainties and other factors that could cause actual results to differ materially from any future results, performances or achievements expressed or implied by the forward-looking statements. See “Special Note Regarding Forward-Looking Statements.” You should read the entire prospectus carefully, including the “Risk Factors” section and the financial statements and the notes to those statements. Unless the context requires otherwise, references in this prospectus to the “Company,” “Context Therapeutics,” “Context,” “we,” “us” and “our” refer, prior to the reorganization discussed herein, to Context Therapeutics LLC and its consolidated subsidiaries, and after the reorganization, to Context Therapeutics Inc. and its consolidated subsidiaries.</w:t>
      </w: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Context Therapeutics</w:t>
      </w:r>
      <w:r>
        <w:rPr>
          <w:rFonts w:ascii="Arial" w:cs="Arial" w:eastAsia="Arial" w:hAnsi="Arial"/>
          <w:sz w:val="14"/>
          <w:szCs w:val="14"/>
          <w:color w:val="auto"/>
        </w:rPr>
        <w:t>®</w:t>
      </w:r>
      <w:r>
        <w:rPr>
          <w:rFonts w:ascii="Arial" w:cs="Arial" w:eastAsia="Arial" w:hAnsi="Arial"/>
          <w:sz w:val="17"/>
          <w:szCs w:val="17"/>
          <w:color w:val="auto"/>
        </w:rPr>
        <w:t xml:space="preserve"> is a clinical-stage biopharmaceutical company dedicated to improving the lives of women living with cancer.</w:t>
      </w:r>
    </w:p>
    <w:p>
      <w:pPr>
        <w:spacing w:after="0" w:line="23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Profound advancements in oncology drug development have expanded the treatment options available to women with cancer, yet therapeutic resistance and relapse continue to limit the efficacy and duration of such treatments. Collectively, our founders and management team have decades of experience identifying and characterizing the mechanisms that drive cancer initiation and subsequent relapse in women with cancer and have been associated with the development of products such as Kisqali (ribociclib), Arimidex (anastrozole) and Afinitor (everolimus) to treat such cancers.</w:t>
      </w:r>
    </w:p>
    <w:p>
      <w:pPr>
        <w:spacing w:after="0" w:line="188" w:lineRule="exact"/>
        <w:rPr>
          <w:sz w:val="20"/>
          <w:szCs w:val="20"/>
          <w:color w:val="auto"/>
        </w:rPr>
      </w:pPr>
    </w:p>
    <w:p>
      <w:pPr>
        <w:ind w:left="300" w:firstLine="426"/>
        <w:spacing w:after="0" w:line="267" w:lineRule="auto"/>
        <w:rPr>
          <w:sz w:val="20"/>
          <w:szCs w:val="20"/>
          <w:color w:val="auto"/>
        </w:rPr>
      </w:pPr>
      <w:r>
        <w:rPr>
          <w:rFonts w:ascii="Arial" w:cs="Arial" w:eastAsia="Arial" w:hAnsi="Arial"/>
          <w:sz w:val="17"/>
          <w:szCs w:val="17"/>
          <w:color w:val="auto"/>
        </w:rPr>
        <w:t>Our development team is advancing a pipeline of innovative therapies with a primary focus on treating female cancers, which include, but are not limited to, breast, ovarian and endometrial cancer. Our first program and lead product candidate, onapristone extended release (“ONA-XR”), builds upon a foundation of successful drug development by our management team and advisors in the field of female hormone-dependent cancers. ONA-XR is a selective and potentially potent antagonist of the progesterone receptor (“PR”), a receptor that is activated by the hormone progesterone and that has been linked to resistance to multiple classes of cancer therapeutics, including anti-estrogen therapies, that are prescribed to treat female hormone-dependent cancers. In 2019, we initiated our Phase 2 trial of ONA-XR in women with ovarian cancer who express high levels of progesterone receptor (“PR+”) and we expect to report preliminary data from this trial in the second half of 2021. In 2020, we initiated a Phase 2 trial of ONA-XR in combination with Arimidex (anastrozole) in PR+ endometrial cancer and a Phase 0 trial of ONA-XR in a window of opportunity study in primary breast cancer, and we expect to report preliminary data in the first half of 2022 and final data in late 2022 for each trial, respectively. The window of opportunity study is a three week study in women with primary breast cancer and subsequent lumpectomy to evaluate the direct effects of ONA-XR on the cancer signaling pathways and the tumor microenvironment. In 2021, a Phase 1b/2 investigator-sponsored trial was initiated in collaboration with Memorial Sloan Kettering Cancer Center to evaluate ONA-XR in combination with Ibrance (palbociclib) and Femara (leterozole) in first line metastatic breast cancer patients with biochemically recurrent disease, defined as circulating tumor DNA (ctDNA) positive. This is potentially a new clinical opportunity for the estimated 20% of first line (“1L”) patients who are at high risk of early disease progression on Ibrance and Femara therapy. Also in 2021, a Phase 2 investigator-sponsored trial was initiated in collaboration with Wisconsin Oncology Network to evaluate ONA-XR in combination with Faslodex (fulvestrant) in women with second line (“2L”) or third line (“3L”) metastatic breast cancer. In 2021, we also initiated a sub-study of our Phase 2 trial in 2L/3L metastatic breast cancer, which evaluates the uptake of radiolabeled progesterone (F-FFNP) via PET imaging in breast tumors, with preliminary data expected to come in the first half of 2022. Our second program, CLDN6xCD3 bsAb, is an anti-CD3 x anti-Claudin 6 antigen bispecific monoclonal antibody (bsAbs) that is intended to redirect</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9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7" w:lineRule="auto"/>
        <w:rPr>
          <w:sz w:val="20"/>
          <w:szCs w:val="20"/>
          <w:color w:val="auto"/>
        </w:rPr>
      </w:pPr>
      <w:r>
        <w:rPr>
          <w:rFonts w:ascii="Arial" w:cs="Arial" w:eastAsia="Arial" w:hAnsi="Arial"/>
          <w:sz w:val="18"/>
          <w:szCs w:val="18"/>
          <w:color w:val="auto"/>
        </w:rPr>
        <w:t>T-cell-mediated lysis toward malignant cells expressing CLDN6. Claudin 6 (CLDN6) is a tight junction membrane protein target expressed in multiple cancers, including ovarian and endometrial tumors, that is absent from healthy adult tissues. We expect to enter IND-enabling studies for the CLDN6xCD3 bsAb in 2022. Beyond these two product candidates, we have a discovery-stage program evaluating antagonists of Sigma1 for breast and prostate cancer. We believe our team and capabilities uniquely position us to be a leader in developing novel therapies to address female hormone-dependent cancers.</w:t>
      </w:r>
    </w:p>
    <w:p>
      <w:pPr>
        <w:spacing w:after="0" w:line="188"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Context retains worldwide development and commercialization rights for ONA-XR outside of Greater China and retains full worldwide development and commercialization rights to certain CLDN6 antibody patents in the field of bispecific antibodies and to certain patents related to Sigma1. Our product candidates are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Our goal is to develop and commercialize innovative and differentiated oncology products that address significant unmet medical needs in the field of female cancers. The key components of our strategy to achieve this goal include:</w:t>
      </w:r>
    </w:p>
    <w:p>
      <w:pPr>
        <w:spacing w:after="0" w:line="76"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the insights, experience and networks of our management team and advisors;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focusing on drugs and programs that have the opportunity to be first or second in market based on current competition;</w:t>
      </w:r>
    </w:p>
    <w:p>
      <w:pPr>
        <w:spacing w:after="0" w:line="130"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completing clinical development and obtaining regulatory approval for ONA-XR for the treatment of breast, ovarian and endometrial cancer;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advancing our second program, CLDN6xCD3 bsAb, as rapidly as reasonably possible through preclinical and clinical development;</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our other drug candidates;</w:t>
      </w:r>
    </w:p>
    <w:p>
      <w:pPr>
        <w:spacing w:after="0" w:line="130" w:lineRule="exact"/>
        <w:rPr>
          <w:rFonts w:ascii="Arial" w:cs="Arial" w:eastAsia="Arial" w:hAnsi="Arial"/>
          <w:sz w:val="18"/>
          <w:szCs w:val="18"/>
          <w:color w:val="auto"/>
        </w:rPr>
      </w:pPr>
    </w:p>
    <w:p>
      <w:pPr>
        <w:jc w:val="both"/>
        <w:ind w:left="1240" w:right="120" w:hanging="415"/>
        <w:spacing w:after="0" w:line="263"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evaluating opportunities to accelerate development timelines and enhance the commercial potential of our programs in collaboration with third parties, which may entail the potential out-licensing of our product candidates, including our lead product candidate ONA-XR; and</w:t>
      </w:r>
    </w:p>
    <w:p>
      <w:pPr>
        <w:spacing w:after="0" w:line="89"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in-licensing or acquiring additional drug candidates to build a fully integrated company focused on female hormone-dependent cancers.</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9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Focus on Female Hormone-Dependent Cancers</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Up to 70% of women with breast, ovarian and endometrial cancer have hormone-dependent cancer. The hormones estrogen and progesterone drive cancer progression in these patients, but anti-estrogens are the only antihormonal therapy that is FDA approved and available to clinicians. Treatment of these patients to date, therefore, has consisted of anti-estrogens alone or in combination with drugs that enhance the antitumor activity of anti-estrogens, including inhibitors of CDK4/6 or PI3Kα. Given the broad use of anti-estrogens, anti-estrogen resistance is now a major clinical challenge. Treatment options for anti-estrogen resistance are limited, provide modest therapeutic benefit and are associated with side effects.</w:t>
      </w:r>
    </w:p>
    <w:p>
      <w:pPr>
        <w:spacing w:after="0" w:line="161" w:lineRule="exact"/>
        <w:rPr>
          <w:sz w:val="20"/>
          <w:szCs w:val="20"/>
          <w:color w:val="auto"/>
        </w:rPr>
      </w:pPr>
    </w:p>
    <w:p>
      <w:pPr>
        <w:ind w:left="300" w:right="80" w:firstLine="426"/>
        <w:spacing w:after="0" w:line="253" w:lineRule="auto"/>
        <w:rPr>
          <w:sz w:val="20"/>
          <w:szCs w:val="20"/>
          <w:color w:val="auto"/>
        </w:rPr>
      </w:pPr>
      <w:r>
        <w:rPr>
          <w:rFonts w:ascii="Arial" w:cs="Arial" w:eastAsia="Arial" w:hAnsi="Arial"/>
          <w:sz w:val="18"/>
          <w:szCs w:val="18"/>
          <w:color w:val="auto"/>
        </w:rPr>
        <w:t>Estrogen and progesterone are master regulators of normal female sex organ development and function, acting via estrogen receptors (“ER”) and progesterone receptors (“PR”). In hormone-dependent cancers, ER and PR are often hyperactive, constantly pushing breast, ovary, and endometrial tissues to grow, divide and metastasize. To block this hormone-mediated growth, patients are administered anti-estrogen therapy (fulvestrant, letrozole, anastrozole or tamoxifen) to block ER signaling and may be used in combination with inhibitors of CDK4/6 or PI3Kα. The cancer cells respond to this selective pressure of ER inhibition, however, by further activating progesterone signaling as a compensatory mechanism, along with other resistance mechanisms that can induce PR signaling, including ER ligand binding mutations (</w:t>
      </w:r>
      <w:r>
        <w:rPr>
          <w:rFonts w:ascii="Arial" w:cs="Arial" w:eastAsia="Arial" w:hAnsi="Arial"/>
          <w:sz w:val="18"/>
          <w:szCs w:val="18"/>
          <w:i w:val="1"/>
          <w:iCs w:val="1"/>
          <w:color w:val="auto"/>
        </w:rPr>
        <w:t>ESR1</w:t>
      </w:r>
      <w:r>
        <w:rPr>
          <w:rFonts w:ascii="Arial" w:cs="Arial" w:eastAsia="Arial" w:hAnsi="Arial"/>
          <w:sz w:val="18"/>
          <w:szCs w:val="18"/>
          <w:color w:val="auto"/>
        </w:rPr>
        <w:t>), growth factor signaling and enrichment of cancer stem cells. Over time, all patients become resistant to anti-estrogens due to direct or indirect compensatory signaling mediated by the PR and other factors. Therefore, PR and proteins that regulate PR represent ideal drug targets to address anti-estrogen resistance.</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 of Anti-estrogen Resistance Mechanisms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We are building a portfolio of novel agents targeting multiple resistance mechanisms by leveraging our specialized expertise in hormone-dependent cancers.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Product Pipeline and Development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 antagonist program: ONA-XR</w:t>
      </w:r>
    </w:p>
    <w:p>
      <w:pPr>
        <w:spacing w:after="0" w:line="117" w:lineRule="exact"/>
        <w:rPr>
          <w:sz w:val="20"/>
          <w:szCs w:val="20"/>
          <w:color w:val="auto"/>
        </w:rPr>
      </w:pPr>
    </w:p>
    <w:p>
      <w:pPr>
        <w:ind w:left="300" w:right="260" w:firstLine="426"/>
        <w:spacing w:after="0" w:line="311" w:lineRule="auto"/>
        <w:rPr>
          <w:sz w:val="20"/>
          <w:szCs w:val="20"/>
          <w:color w:val="auto"/>
        </w:rPr>
      </w:pPr>
      <w:r>
        <w:rPr>
          <w:rFonts w:ascii="Arial" w:cs="Arial" w:eastAsia="Arial" w:hAnsi="Arial"/>
          <w:sz w:val="16"/>
          <w:szCs w:val="16"/>
          <w:color w:val="auto"/>
        </w:rPr>
        <w:t>Currently, there are no approved therapies that selectively target progesterone receptor positive (PR+) cancers. We have chosen PR antagonism in breast cancer as our initial therapeutic focus due to the well-documented biology of PR signaling as a mechanism of resistance to anti-estrogen therapy in patients with hormone-dependent breast cancer. Hormone-dependent breast cancer cells express estrogen (ER) and/or</w:t>
      </w:r>
    </w:p>
    <w:p>
      <w:pPr>
        <w:spacing w:after="0" w:line="3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53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progesterone receptors (PR) that allow the cells to grow in the presence of the hormones estrogen and/or progesterone. Published data suggests that PR signaling is predominantly required for breast cancer cell renewal (i.e., stemness) and metastatic spread, whereas ER is predominantly required for breast cancer cell proliferation. By combining anti-progestin and anti-estrogen therapy, we have shown preclinically that breast cancer cell growth, renewal, and spread can be mitigated. Based on these data, we believe that ONA-XR, in combination with current standard-of-care anti-estrogens, has the potential to significantly improve clinical outcomes.</w:t>
      </w:r>
    </w:p>
    <w:p>
      <w:pPr>
        <w:spacing w:after="0" w:line="18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ONA-XR is currently being evaluated in three Phase 2 trials, one Phase 1b/2 trial and two Phase 0 biomarker pharmacodynamic trials in women with primary or metastatic breast, ovarian and endometrial cancers. These trials are intended to establish safety, pharmacokinetics, pharmacodynamics, and anti-tumor activity at the recommended Phase 2 dose of ONA-XR to guide potential advancement in Phase 3 development in 2023.</w:t>
      </w:r>
    </w:p>
    <w:p>
      <w:pPr>
        <w:spacing w:after="0" w:line="187"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To help inform which patients may be most suitable for treatment with ONA-XR, we are evaluating multiple biomarker assays, including tools to monitor activated progesterone receptor as well as a PR gene activation signature that measures PR signaling activity, both of which are being utilized in our ongoing clinical trials and may be used for patient selection in future clinical trials. We expect to report preliminary data from at least one Phase 2 trial in the first half of 2022 and from the other trials in the second half of 2022.</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CLDN6xCD3 bispecific antibody program</w:t>
      </w:r>
    </w:p>
    <w:p>
      <w:pPr>
        <w:spacing w:after="0" w:line="117"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Our second program, CLDN6xCD3 bsAb, is an anti-CD3 x anti-Claudin 6 (CLDN6xCD3) antigen bispecific monoclonal antibody (bsAbs) that is intended to redirect T-cell-mediated lysis toward malignant cells expressing CLDN6. Claudin 6 (CLDN6) is a tight junction membrane protein target expressed in multiple hormone-dependent cancers, including ovarian and endometrial tumors, and absent from healthy adult tissues. The structural complexity of Claudin 6 and its similarity to proteins expressed on healthy tissue, particularly Claudin 4 and Claudin 9, have limited its exploitation for targeted oncology therapies. Several global pharmaceutical companies are developing anti-CLDN6 antibodies, but due to significant antibody selectivity challenges, to our knowledge, there are no selective inhibitors of CLDN6 in clinical development. We expect to enter IND-enabling studies for our CLDN6xCD3 bsAb in 2022.</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117" w:lineRule="exact"/>
        <w:rPr>
          <w:sz w:val="20"/>
          <w:szCs w:val="20"/>
          <w:color w:val="auto"/>
        </w:rPr>
      </w:pPr>
    </w:p>
    <w:p>
      <w:pPr>
        <w:ind w:left="300" w:right="280" w:firstLine="426"/>
        <w:spacing w:after="0" w:line="286" w:lineRule="auto"/>
        <w:rPr>
          <w:sz w:val="20"/>
          <w:szCs w:val="20"/>
          <w:color w:val="auto"/>
        </w:rPr>
      </w:pPr>
      <w:r>
        <w:rPr>
          <w:rFonts w:ascii="Arial" w:cs="Arial" w:eastAsia="Arial" w:hAnsi="Arial"/>
          <w:sz w:val="17"/>
          <w:szCs w:val="17"/>
          <w:color w:val="auto"/>
        </w:rPr>
        <w:t xml:space="preserve">In addition to our product candidates, we are leveraging our knowledge in hormone-dependent cancers to pursue discovery stage research programs, including Sigma1. Sigma1 is a cellular protein that regulates homeostasis and has been shown to play a role in breast and prostate cancer. The Sigma1 discovery research program is currently in lead optimization and has undergone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Management Team</w:t>
      </w:r>
    </w:p>
    <w:p>
      <w:pPr>
        <w:spacing w:after="0" w:line="121" w:lineRule="exact"/>
        <w:rPr>
          <w:sz w:val="20"/>
          <w:szCs w:val="20"/>
          <w:color w:val="auto"/>
        </w:rPr>
      </w:pPr>
    </w:p>
    <w:p>
      <w:pPr>
        <w:ind w:left="300" w:right="260" w:firstLine="426"/>
        <w:spacing w:after="0" w:line="286" w:lineRule="auto"/>
        <w:rPr>
          <w:sz w:val="20"/>
          <w:szCs w:val="20"/>
          <w:color w:val="auto"/>
        </w:rPr>
      </w:pPr>
      <w:r>
        <w:rPr>
          <w:rFonts w:ascii="Arial" w:cs="Arial" w:eastAsia="Arial" w:hAnsi="Arial"/>
          <w:sz w:val="17"/>
          <w:szCs w:val="17"/>
          <w:color w:val="auto"/>
        </w:rPr>
        <w:t>We have assembled an outstanding management team to develop novel products to treat female, hormone-dependent cancers. Members of our management team have experience leading organizations that have advanced multiple oncology therapeutics from early-stage research to clinical trials, and ultimately to regulatory approval and commercialization. Our team’s select accomplishments include:</w:t>
      </w:r>
    </w:p>
    <w:p>
      <w:pPr>
        <w:spacing w:after="0" w:line="71" w:lineRule="exact"/>
        <w:rPr>
          <w:sz w:val="20"/>
          <w:szCs w:val="20"/>
          <w:color w:val="auto"/>
        </w:rPr>
      </w:pPr>
    </w:p>
    <w:p>
      <w:pPr>
        <w:ind w:left="1240" w:right="100" w:hanging="415"/>
        <w:spacing w:after="0" w:line="308"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Chief Executive Officer co-founded Context in 2015 and was previously a venture capitalist at Osage University Partners, where he led multiple oncology investments for the firm that resulted in successful public offerings or acquisitions.</w:t>
      </w:r>
    </w:p>
    <w:p>
      <w:pPr>
        <w:spacing w:after="0" w:line="51" w:lineRule="exact"/>
        <w:rPr>
          <w:rFonts w:ascii="Arial" w:cs="Arial" w:eastAsia="Arial" w:hAnsi="Arial"/>
          <w:sz w:val="17"/>
          <w:szCs w:val="17"/>
          <w:color w:val="auto"/>
        </w:rPr>
      </w:pPr>
    </w:p>
    <w:p>
      <w:pPr>
        <w:ind w:left="124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Chief Legal Officer previously served as Vice President, Deputy General Counsel and Assistant Corporate Secretary of OptiNose, a publicly-traded specialty pharmaceutical company. Prior to OptiNose, Mr. Levit served as Associate General Counsel of Teva Pharmaceuticals, a global pharmaceuticals company, from 2010 until 2017.</w:t>
      </w:r>
    </w:p>
    <w:p>
      <w:pPr>
        <w:spacing w:after="0" w:line="89"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Chief Medical Officer previously held the same position at H3 Biomedicine, where he led the early phase development for an oral selective estrogen receptor covalent antagonist (SERCA). During his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8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740"/>
        <w:spacing w:after="0" w:line="308" w:lineRule="auto"/>
        <w:rPr>
          <w:sz w:val="20"/>
          <w:szCs w:val="20"/>
          <w:color w:val="auto"/>
        </w:rPr>
      </w:pPr>
      <w:r>
        <w:rPr>
          <w:rFonts w:ascii="Arial" w:cs="Arial" w:eastAsia="Arial" w:hAnsi="Arial"/>
          <w:sz w:val="17"/>
          <w:szCs w:val="17"/>
          <w:color w:val="auto"/>
        </w:rPr>
        <w:t>career, he has either led or supported global drug development programs for several novel oncology drugs, including Kisqali (ribociclib), Arimidex (anastrozole), and Afinitor (everolimus), resulting in successful global registrations.</w:t>
      </w:r>
    </w:p>
    <w:p>
      <w:pPr>
        <w:spacing w:after="0" w:line="52" w:lineRule="exact"/>
        <w:rPr>
          <w:sz w:val="20"/>
          <w:szCs w:val="20"/>
          <w:color w:val="auto"/>
        </w:rPr>
      </w:pPr>
    </w:p>
    <w:p>
      <w:pPr>
        <w:ind w:left="1240" w:right="32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Head of Chemistry Manufacturing Controls and Regulatory has worked for many life sciences companies during his 30+ year career, including, SKB, McNeil, Schering and the CONRAD Program, holding positions as group leader through director.</w:t>
      </w:r>
    </w:p>
    <w:p>
      <w:pPr>
        <w:spacing w:after="0" w:line="29" w:lineRule="exact"/>
        <w:rPr>
          <w:rFonts w:ascii="Arial" w:cs="Arial" w:eastAsia="Arial" w:hAnsi="Arial"/>
          <w:sz w:val="16"/>
          <w:szCs w:val="16"/>
          <w:color w:val="auto"/>
        </w:rPr>
      </w:pPr>
    </w:p>
    <w:p>
      <w:pPr>
        <w:ind w:left="1240" w:right="26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Senior Vice President of Research and Development was most recently Senior Vice President of Research and Development at Aclaris Therapeutics, where his team was responsible for the registration of ESKATA and identified and led the acquisition and subsequent development of CDD-450, an MK-2 pathway inhibitor.</w:t>
      </w:r>
    </w:p>
    <w:p>
      <w:pPr>
        <w:spacing w:after="0" w:line="89"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management team has been involved in several multimillion-dollar strategic transactions, including as part of the leadership teams at Celgene, Novartis and Ception Therapeutics.</w:t>
      </w:r>
    </w:p>
    <w:p>
      <w:pPr>
        <w:spacing w:after="0" w:line="170"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are supported by our advisors who are leading experts in hormone-dependent cancer and anti-estrogen resistance, including Dr. Carol Lange, Dr. Larry Norton, and Dr. Felix Kim, a co-founder of Context. Our arrangements with these individuals do not entitle us to any of their existing or future intellectual property derived from their independent research or research with other third parties beyond what has previously been licensed to us.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Private Financing</w:t>
      </w:r>
    </w:p>
    <w:p>
      <w:pPr>
        <w:spacing w:after="0" w:line="117" w:lineRule="exact"/>
        <w:rPr>
          <w:sz w:val="20"/>
          <w:szCs w:val="20"/>
          <w:color w:val="auto"/>
        </w:rPr>
      </w:pPr>
    </w:p>
    <w:p>
      <w:pPr>
        <w:jc w:val="both"/>
        <w:ind w:left="300" w:right="360" w:firstLine="426"/>
        <w:spacing w:after="0" w:line="263" w:lineRule="auto"/>
        <w:rPr>
          <w:sz w:val="20"/>
          <w:szCs w:val="20"/>
          <w:color w:val="auto"/>
        </w:rPr>
      </w:pPr>
      <w:r>
        <w:rPr>
          <w:rFonts w:ascii="Arial" w:cs="Arial" w:eastAsia="Arial" w:hAnsi="Arial"/>
          <w:sz w:val="18"/>
          <w:szCs w:val="18"/>
          <w:color w:val="auto"/>
        </w:rPr>
        <w:t>From January through April 2021, we entered into unit purchase agreements with certain investors, under which we sold an aggregate of 738,445 Series A convertible preferred units, at a per price share of $7.168, for an aggregate purchase price of approximately $5.3 million, and issued 184,597 warrants to purchase common member units at an exercise price of $7.168.</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Integral Transaction</w:t>
      </w:r>
    </w:p>
    <w:p>
      <w:pPr>
        <w:spacing w:after="0" w:line="117"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In April 2021, we entered into a collaboration and licensing agreement with Integral Molecular, Inc. (“Integral”) for the development of CLDN6xCD3 bsAb. Under the terms of the agreement, we will conduct preclinical and all clinical development, as well as regulatory and commercial activities through exclusive worldwide rights to develop and commercialize the novel CLDN6xCD3 bsAb candidates. We paid an upfront license fee of $0.3 million and granted Integral 418,559 Series A Units with a fair market value of approximately $2.8 million. As a part of the agreement, Integral will be eligible to receive development and regulatory milestone payments totaling up to $55.3 million, sales milestone payments totaling up to $130 million, and tiered royalties of up to 12% of net sales of certain products developed under this agreement. See “Business—Our Collaboration and License Agreements” for more information.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On April 23, 2021, we completed a reverse triangular merger, resulting in Context Therapeutics Inc. becoming the sole holder of 100% of the membership interests in Context Therapeutics LLC, and which resulted in all of the common units, preferred units and all options, warrants or other rights to purchase common or preferred units of Context Therapeutics LLC converting into common stock, preferred stock and all options, warrants or other rights to purchase common or preferred stock of Context Therapeutics Inc.</w:t>
      </w:r>
    </w:p>
    <w:p>
      <w:pPr>
        <w:spacing w:after="0" w:line="187"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The members of the board of managers of Context Therapeutics LLC have become the directors of Context Therapeutics Inc.’s board of directors, and the officers of Context Therapeutics LLC have become the officers of Context Therapeutics Inc.</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consolidated financial statements included elsewhere in this prospectus are those of Context Therapeutics LLC and its subsidiaries.</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39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9392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left="300" w:right="420" w:firstLine="426"/>
        <w:spacing w:after="0" w:line="263"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89"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never been profitable and may never achieve or maintain profitability.</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not initiated or completed any large-scale or pivotal clinical trials and have no products approved for commercial sale.</w:t>
      </w:r>
    </w:p>
    <w:p>
      <w:pPr>
        <w:spacing w:after="0" w:line="75" w:lineRule="exact"/>
        <w:rPr>
          <w:rFonts w:ascii="Arial" w:cs="Arial" w:eastAsia="Arial" w:hAnsi="Arial"/>
          <w:sz w:val="18"/>
          <w:szCs w:val="18"/>
          <w:color w:val="auto"/>
        </w:rPr>
      </w:pPr>
    </w:p>
    <w:p>
      <w:pPr>
        <w:ind w:left="1240" w:hanging="415"/>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a central team consisting of a limited number of employees who provide various administrative, research and development, and other services across our organization, which presents operational challenges that may adversely affect our business.</w:t>
      </w:r>
    </w:p>
    <w:p>
      <w:pPr>
        <w:spacing w:after="0" w:line="29" w:lineRule="exact"/>
        <w:rPr>
          <w:rFonts w:ascii="Arial" w:cs="Arial" w:eastAsia="Arial" w:hAnsi="Arial"/>
          <w:sz w:val="16"/>
          <w:szCs w:val="16"/>
          <w:color w:val="auto"/>
        </w:rPr>
      </w:pPr>
    </w:p>
    <w:p>
      <w:pPr>
        <w:ind w:left="1240" w:right="8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75"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our product candidates.</w:t>
      </w:r>
    </w:p>
    <w:p>
      <w:pPr>
        <w:spacing w:after="0" w:line="75" w:lineRule="exact"/>
        <w:rPr>
          <w:rFonts w:ascii="Arial" w:cs="Arial" w:eastAsia="Arial" w:hAnsi="Arial"/>
          <w:sz w:val="18"/>
          <w:szCs w:val="18"/>
          <w:color w:val="auto"/>
        </w:rPr>
      </w:pPr>
    </w:p>
    <w:p>
      <w:pPr>
        <w:ind w:left="1240" w:right="60" w:hanging="415"/>
        <w:spacing w:after="0" w:line="25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If we are unable to raise substantial additional capital on acceptable terms, or at all, we may be forced to delay, reduce or eliminate some or all of our research programs, product development activities and commercialization efforts or we might have to obtain funds through arrangements, such as out-licensing our product candidates, with collaborative partners or others that may require us to relinquish rights to our technologies or product candidates that we would otherwise not relinquish.</w:t>
      </w:r>
    </w:p>
    <w:p>
      <w:pPr>
        <w:spacing w:after="0" w:line="93" w:lineRule="exact"/>
        <w:rPr>
          <w:rFonts w:ascii="Arial" w:cs="Arial" w:eastAsia="Arial" w:hAnsi="Arial"/>
          <w:sz w:val="18"/>
          <w:szCs w:val="18"/>
          <w:color w:val="auto"/>
        </w:rPr>
      </w:pPr>
    </w:p>
    <w:p>
      <w:pPr>
        <w:ind w:left="1240" w:right="180" w:hanging="415"/>
        <w:spacing w:after="0" w:line="259"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first program and lead product candidate, ONA-XR, which is currently in early stage clinical trials. If we are unable to complete development of, obtain approval for and commercialize ONA-XR for one or more indications in a timely manner, our business, financial condition, results of operations and prospects would be materially and adversely affected.</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prospects depend in part upon discovering, developing and commercializing additional product candidates.</w:t>
      </w:r>
    </w:p>
    <w:p>
      <w:pPr>
        <w:spacing w:after="0" w:line="130" w:lineRule="exact"/>
        <w:rPr>
          <w:rFonts w:ascii="Arial" w:cs="Arial" w:eastAsia="Arial" w:hAnsi="Arial"/>
          <w:sz w:val="18"/>
          <w:szCs w:val="18"/>
          <w:color w:val="auto"/>
        </w:rPr>
      </w:pPr>
    </w:p>
    <w:p>
      <w:pPr>
        <w:ind w:left="1240" w:right="240" w:hanging="415"/>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innovative therapy approach is based on novel ideas and technologies that are unproven and may not result in marketable products, which exposes us to unforeseen risks and makes it difficult for us to predict the time and cost of product development and potential for regulatory approval.</w:t>
      </w:r>
    </w:p>
    <w:p>
      <w:pPr>
        <w:spacing w:after="0" w:line="89"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processes of the FDA, European Medicines Agency (the “EMA”) and other comparable foreign regulatory authorities are lengthy, time consuming and inherently unpredictable.</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clinical trials of our product candidates may not demonstrate safety and efficacy to the satisfaction of the FDA, EMA or other comparable foreign regulatory authorities or otherwise produce positive results.</w:t>
      </w:r>
    </w:p>
    <w:p>
      <w:pPr>
        <w:spacing w:after="0" w:line="75" w:lineRule="exact"/>
        <w:rPr>
          <w:rFonts w:ascii="Arial" w:cs="Arial" w:eastAsia="Arial" w:hAnsi="Arial"/>
          <w:sz w:val="18"/>
          <w:szCs w:val="18"/>
          <w:color w:val="auto"/>
        </w:rPr>
      </w:pPr>
    </w:p>
    <w:p>
      <w:pPr>
        <w:ind w:left="1240" w:right="960" w:hanging="415"/>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third parties to conduct some or all aspects of our product manufacturing, research and preclinical and clinical development, and these third parties may not perform satisfactorily, which may substantially harm our business.</w:t>
      </w:r>
    </w:p>
    <w:p>
      <w:pPr>
        <w:spacing w:after="0" w:line="29" w:lineRule="exact"/>
        <w:rPr>
          <w:rFonts w:ascii="Arial" w:cs="Arial" w:eastAsia="Arial" w:hAnsi="Arial"/>
          <w:sz w:val="16"/>
          <w:szCs w:val="16"/>
          <w:color w:val="auto"/>
        </w:rPr>
      </w:pPr>
    </w:p>
    <w:p>
      <w:pPr>
        <w:ind w:left="1240" w:right="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as well as to operate without infringing the intellectual property rights of third parties.</w:t>
      </w:r>
    </w:p>
    <w:p>
      <w:pPr>
        <w:spacing w:after="0" w:line="75" w:lineRule="exact"/>
        <w:rPr>
          <w:rFonts w:ascii="Arial" w:cs="Arial" w:eastAsia="Arial" w:hAnsi="Arial"/>
          <w:sz w:val="18"/>
          <w:szCs w:val="18"/>
          <w:color w:val="auto"/>
        </w:rPr>
      </w:pPr>
    </w:p>
    <w:p>
      <w:pPr>
        <w:ind w:left="1240" w:right="200" w:hanging="415"/>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develop and market technologies or products more rapidly than we do or that are more effective, safer or less expensive than the product candidates we develop, our commercial opportunities will be impacted.</w:t>
      </w:r>
    </w:p>
    <w:p>
      <w:pPr>
        <w:spacing w:after="0" w:line="29" w:lineRule="exact"/>
        <w:rPr>
          <w:rFonts w:ascii="Arial" w:cs="Arial" w:eastAsia="Arial" w:hAnsi="Arial"/>
          <w:sz w:val="16"/>
          <w:szCs w:val="16"/>
          <w:color w:val="auto"/>
        </w:rPr>
      </w:pPr>
    </w:p>
    <w:p>
      <w:pPr>
        <w:ind w:left="1240" w:right="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and reimbursement may be limited or unavailable in certain market segments for our product candidates, which could make it difficult for us to sell our product candidates, if approved, profitably.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advancement of healthcare reform may negatively impact our ability to sell our product candidates, if approved, profitably.</w:t>
      </w: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History</w:t>
      </w:r>
    </w:p>
    <w:p>
      <w:pPr>
        <w:spacing w:after="0" w:line="121"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 xml:space="preserve">On April 23, 2021, we completed a reverse triangular merger, resulting in Context Therapeutics Inc. becoming the sole holder of 100% of the membership interests in Context Therapeutics LLC, and which resulted in all of the common units, preferred units and all options, warrants or other rights to purchase common or preferred units of Context Therapeutics LLC converting into common stock, preferred stock and all options, warrants or other rights to purchase common or preferred stock of Context Therapeutics Inc. We were previously organized as a limited liability company in Delaware in April 2015 under the name “Context Therapeutics LLC.” Our principal executive offices are located at 3675 Market Street, Suite 200, Philadelphia, Pennsylvania 19104. Our telephone number is (267) 225-7416. Our website address is </w:t>
      </w:r>
      <w:r>
        <w:rPr>
          <w:rFonts w:ascii="Arial" w:cs="Arial" w:eastAsia="Arial" w:hAnsi="Arial"/>
          <w:sz w:val="16"/>
          <w:szCs w:val="16"/>
          <w:i w:val="1"/>
          <w:iCs w:val="1"/>
          <w:color w:val="auto"/>
        </w:rPr>
        <w:t>www.contexttherapeutics.com</w:t>
      </w:r>
      <w:r>
        <w:rPr>
          <w:rFonts w:ascii="Arial" w:cs="Arial" w:eastAsia="Arial" w:hAnsi="Arial"/>
          <w:sz w:val="16"/>
          <w:szCs w:val="16"/>
          <w:color w:val="auto"/>
        </w:rPr>
        <w:t>. Information contained on the website is not incorporated by reference into this prospectus and should not be considered to be part of this prospectus.</w:t>
      </w:r>
    </w:p>
    <w:p>
      <w:pPr>
        <w:spacing w:after="0" w:line="166"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We have three wholly-owned subsidiaries: Context Therapeutics LLC, which was incorporated in the state of Delaware in April of 2015, Context Therapeutics Ireland Limited, which was incorporated under the Companies Act 2014 in Ireland in April 2018, and Context Biopharma, Inc., which was incorporated in the state of Delaware in December 2017.</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Upon the completion of this offering, we will qualify as an “emerging growth company” under the Jumpstart Our Business Act of 2012, as amended, or the JOBS Act. As a result, we will be permitted to, and intend to, rely on exemptions from certain disclosure requirements. For so long as we are an emerging growth company, we will not be required to:</w:t>
      </w:r>
    </w:p>
    <w:p>
      <w:pPr>
        <w:spacing w:after="0" w:line="89"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have an auditor report on our internal controls over financial reporting pursuant to Section 404(b) of the Sarbanes-Oxley Act;</w:t>
      </w:r>
    </w:p>
    <w:p>
      <w:pPr>
        <w:spacing w:after="0" w:line="142" w:lineRule="exact"/>
        <w:rPr>
          <w:rFonts w:ascii="Arial" w:cs="Arial" w:eastAsia="Arial" w:hAnsi="Arial"/>
          <w:sz w:val="17"/>
          <w:szCs w:val="17"/>
          <w:color w:val="auto"/>
        </w:rPr>
      </w:pPr>
    </w:p>
    <w:p>
      <w:pPr>
        <w:ind w:left="1240" w:right="6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certain audit matters);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submit certain executive compensation matters to stockholder advisory votes, such as “say-on-pay” and “say-on-frequency”; and</w:t>
      </w:r>
    </w:p>
    <w:p>
      <w:pPr>
        <w:spacing w:after="0" w:line="142" w:lineRule="exact"/>
        <w:rPr>
          <w:rFonts w:ascii="Arial" w:cs="Arial" w:eastAsia="Arial" w:hAnsi="Arial"/>
          <w:sz w:val="17"/>
          <w:szCs w:val="17"/>
          <w:color w:val="auto"/>
        </w:rPr>
      </w:pPr>
    </w:p>
    <w:p>
      <w:pPr>
        <w:ind w:left="1240" w:right="20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chief executive officer’s compensation to median employee compensation.</w:t>
      </w:r>
    </w:p>
    <w:p>
      <w:pPr>
        <w:spacing w:after="0" w:line="170" w:lineRule="exact"/>
        <w:rPr>
          <w:sz w:val="20"/>
          <w:szCs w:val="20"/>
          <w:color w:val="auto"/>
        </w:rPr>
      </w:pPr>
    </w:p>
    <w:p>
      <w:pPr>
        <w:ind w:left="300" w:right="260" w:firstLine="426"/>
        <w:spacing w:after="0" w:line="296"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61" w:lineRule="exact"/>
        <w:rPr>
          <w:sz w:val="20"/>
          <w:szCs w:val="20"/>
          <w:color w:val="auto"/>
        </w:rPr>
      </w:pPr>
    </w:p>
    <w:p>
      <w:pPr>
        <w:jc w:val="both"/>
        <w:ind w:left="300" w:right="220" w:firstLine="426"/>
        <w:spacing w:after="0" w:line="291" w:lineRule="auto"/>
        <w:rPr>
          <w:sz w:val="20"/>
          <w:szCs w:val="20"/>
          <w:color w:val="auto"/>
        </w:rPr>
      </w:pPr>
      <w:r>
        <w:rPr>
          <w:rFonts w:ascii="Arial" w:cs="Arial" w:eastAsia="Arial" w:hAnsi="Arial"/>
          <w:sz w:val="16"/>
          <w:szCs w:val="16"/>
          <w:color w:val="auto"/>
        </w:rPr>
        <w:t>We will remain an emerging growth company for up to five years from the date of the first sale of equity securities pursuant to an effective registration statement, or until the earliest of (i) the last day of the first fiscal year in which our total annual gross revenues exceed $1.07 billion,</w:t>
      </w:r>
    </w:p>
    <w:p>
      <w:pPr>
        <w:ind w:left="300" w:right="20" w:hanging="2"/>
        <w:spacing w:after="0" w:line="253" w:lineRule="auto"/>
        <w:tabs>
          <w:tab w:leader="none" w:pos="5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Context Therapeutics Inc.</w:t>
      </w:r>
    </w:p>
    <w:p>
      <w:pPr>
        <w:spacing w:after="0" w:line="16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1,500,000 shares of common stock.</w:t>
      </w:r>
    </w:p>
    <w:p>
      <w:pPr>
        <w:spacing w:after="0" w:line="16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The underwriter has an option for a period of 45 days to acquire up to 225,000 additional shares of common stock from us at the public offering price, less the underwriting discount, solely for the purpose of covering over-allotments, if any.</w:t>
      </w:r>
    </w:p>
    <w:p>
      <w:pPr>
        <w:spacing w:after="0" w:line="89"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80" w:right="860" w:hanging="78"/>
        <w:spacing w:after="0" w:line="277" w:lineRule="auto"/>
        <w:rPr>
          <w:sz w:val="20"/>
          <w:szCs w:val="20"/>
          <w:color w:val="auto"/>
        </w:rPr>
      </w:pPr>
      <w:r>
        <w:rPr>
          <w:rFonts w:ascii="Arial" w:cs="Arial" w:eastAsia="Arial" w:hAnsi="Arial"/>
          <w:sz w:val="18"/>
          <w:szCs w:val="18"/>
          <w:color w:val="auto"/>
        </w:rPr>
        <w:t>Common stock to be outstanding immediately after this 6,876,716 shares of common stock (or 7,101,716 shares of common stock if the offering underwriter exercises its over-allotment option in full).</w:t>
      </w:r>
    </w:p>
    <w:p>
      <w:pPr>
        <w:sectPr>
          <w:pgSz w:w="11900" w:h="16838" w:orient="portrait"/>
          <w:cols w:equalWidth="0" w:num="1">
            <w:col w:w="1094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we will receive net proceeds of approximately $15.9 million from our sale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in this offering, or approximately $18.6 million if the underwriter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exercises its over-allotment option in full, assuming an initial public offering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$13.00, which is the midpoint of the price range on the cover page of this prospectus,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deducting estimated underwriting discounts and commissions and estimated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payable by us.</w:t>
      </w:r>
    </w:p>
    <w:p>
      <w:pPr>
        <w:spacing w:after="0" w:line="116"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right="140"/>
        <w:spacing w:after="0" w:line="279" w:lineRule="auto"/>
        <w:rPr>
          <w:sz w:val="20"/>
          <w:szCs w:val="20"/>
          <w:color w:val="auto"/>
        </w:rPr>
      </w:pPr>
      <w:r>
        <w:rPr>
          <w:rFonts w:ascii="Arial" w:cs="Arial" w:eastAsia="Arial" w:hAnsi="Arial"/>
          <w:sz w:val="17"/>
          <w:szCs w:val="17"/>
          <w:color w:val="auto"/>
        </w:rPr>
        <w:t>We intend to use the net proceeds from this offering to fund the development of ONA-XR and CLDN6xCD3 bsAb and the remaining amounts to fund the development of other research and development activities as well as for working capital and other general corporate purposes. See “Use of Proceeds” for additional information.</w:t>
      </w:r>
    </w:p>
    <w:p>
      <w:pPr>
        <w:sectPr>
          <w:pgSz w:w="11900" w:h="16838" w:orient="portrait"/>
          <w:cols w:equalWidth="0" w:num="1">
            <w:col w:w="10940"/>
          </w:cols>
          <w:pgMar w:left="320" w:top="459"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Investing in our common stock involves a high degree of risk and purchasers of our common stock may lose part or all of their investment. See “Risk Factors” for a discussion of factors you should carefully consider before deciding to invest in our common stock.</w:t>
      </w:r>
    </w:p>
    <w:p>
      <w:pPr>
        <w:spacing w:after="0" w:line="54"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Proposed listing</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We have applied to have our common stock listed for trading on the Nasdaq Capital Market (“Nasdaq”) under the symbol “CNTX.” No assurance can be given that our application will be approved.</w:t>
      </w:r>
    </w:p>
    <w:p>
      <w:pPr>
        <w:spacing w:after="0" w:line="184"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firstLine="426"/>
        <w:spacing w:after="0" w:line="293" w:lineRule="auto"/>
        <w:rPr>
          <w:sz w:val="20"/>
          <w:szCs w:val="20"/>
          <w:color w:val="auto"/>
        </w:rPr>
      </w:pPr>
      <w:r>
        <w:rPr>
          <w:rFonts w:ascii="Arial" w:cs="Arial" w:eastAsia="Arial" w:hAnsi="Arial"/>
          <w:sz w:val="16"/>
          <w:szCs w:val="16"/>
          <w:color w:val="auto"/>
        </w:rPr>
        <w:t>The number of shares of our common stock to be outstanding immediately after this offering is based on 352,673 shares of our common stock outstanding as of March 31, 2021, as adjusted to give effect (i) to the reorganization (ii) the sale of 285,351 Series A convertible preferred units (“Series A Units”) and the issuance of 80,363 warrants for common member units for gross proceeds of $2.0 million, (iii) the issuance of 418,559 Series A convertible preferred units with a fair value of approximately $2.8 million and (iv) after giving effect to the automatic conversion of all of our convertible preferred stock into an aggregate of 4,836,868 shares of our common stock and the conversion of 368,839 warrants into 187,176 shares of our common stock immediately prior to the completion of this offering and excludes the following:</w:t>
      </w:r>
    </w:p>
    <w:p>
      <w:pPr>
        <w:spacing w:after="0" w:line="70" w:lineRule="exact"/>
        <w:rPr>
          <w:sz w:val="20"/>
          <w:szCs w:val="20"/>
          <w:color w:val="auto"/>
        </w:rPr>
      </w:pPr>
    </w:p>
    <w:p>
      <w:pPr>
        <w:ind w:left="1240" w:right="1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436,437 shares of common stock issuable upon the exercise of options outstanding as of June 1, 2021, at a weighted-average exercise price of $2.69 per share; and</w:t>
      </w:r>
    </w:p>
    <w:p>
      <w:pPr>
        <w:spacing w:after="0" w:line="75"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829,655 shares of common stock reserved for issuance under our 2021 Incentive Plan, as more fully described in “Executive Compensation — 2021 Incentive Plan.”</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15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3415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herein, all information in this prospectus assumes the following:</w:t>
      </w:r>
    </w:p>
    <w:p>
      <w:pPr>
        <w:spacing w:after="0" w:line="131"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six-for-1 reverse stock split of our common stock effected on June 25, 2021;</w:t>
      </w:r>
    </w:p>
    <w:p>
      <w:pPr>
        <w:spacing w:after="0" w:line="130"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our reorganization, as a result of which the membership interests currently held by the Company’s members will convert into an aggregate of 352,673 shares of our common stock;</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our convertible preferred stock outstanding into an aggregate of 4,836,868 shares of our common stock immediately prior to the completion of this offering;</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initial public offering price of $13.00 per share, the midpoint of the estimated price range set forth on the cover of this prospectus; and</w:t>
      </w:r>
    </w:p>
    <w:p>
      <w:pPr>
        <w:spacing w:after="0" w:line="75" w:lineRule="exact"/>
        <w:rPr>
          <w:rFonts w:ascii="Arial" w:cs="Arial" w:eastAsia="Arial" w:hAnsi="Arial"/>
          <w:sz w:val="18"/>
          <w:szCs w:val="18"/>
          <w:color w:val="auto"/>
        </w:rPr>
      </w:pPr>
    </w:p>
    <w:p>
      <w:pPr>
        <w:ind w:left="1240" w:right="80" w:hanging="415"/>
        <w:spacing w:after="0" w:line="25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(i) option to purchase up to an additional 225,000 shares of common stock to cover allotments, if any or (ii) the warrants to purchase 75,000 shares of our common stock at an exercise price per share equal to 125% of the initial public offering price per share or $16.25, based on an assumed initial public offering price of $13.00 per share, which is the midpoint of the price range set forth on the cover page of this prospectus, that will be issued to the underwriter in connection with this offering (the “Underwriting Warrant”).</w:t>
      </w:r>
    </w:p>
    <w:p>
      <w:pPr>
        <w:spacing w:after="0" w:line="188"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Certain of our existing stockholders, including certain of our directors and officers and entities affiliated with certain of our directors, have indicated an interest in purchasing an aggregate of up to approximately $1.0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3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 FINANCIAL INFORMATION</w:t>
      </w:r>
    </w:p>
    <w:p>
      <w:pPr>
        <w:spacing w:after="0" w:line="229"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The following tables summarize our consolidated financial data for our business. We have derived the summary consolidated statement of operations data for the years ended December 31, 2019 and 2020 from our audited consolidated financial statements included elsewhere in this prospectus. The summary statement of operations data for the three months ended March 31, 2020 and 2021 and balance sheet data as of March 31, 2021 are derived from our unaudited condensed consolidated financial statements included elsewhere in this prospectus. The unaudited condensed consolidated financial statements, in management’s opinion, have been prepared on the same basis as the audited financial statements and the related notes included elsewhere in this prospectus, and include all adjustments, consisting only of normal recurring adjustments, that management considers necessary for a fair presentation of the information for the periods presented. Our financial statements are prepared and presented in accordance with accounting principles generally accepted in the United States of America, or U.S. GAAP. Our historical results are not necessarily indicative of our future results. You should read this data together with our consolidated financial statements and related notes appearing elsewhere in this prospectus and the information contained under the heading “Management’s Discussion and Analysis of Financial Condition and Results of Operations.”</w:t>
      </w: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9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4"/>
                <w:szCs w:val="14"/>
                <w:color w:val="auto"/>
              </w:rPr>
            </w:pPr>
          </w:p>
        </w:tc>
        <w:tc>
          <w:tcPr>
            <w:tcW w:w="23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$ 2,411,937</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$ 1,641,501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211,758</w:t>
            </w:r>
          </w:p>
        </w:tc>
        <w:tc>
          <w:tcPr>
            <w:tcW w:w="4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2,965,207</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930,667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288,210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401,579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(5,377,144)</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(2,572,168)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(499,968)</w:t>
            </w:r>
          </w:p>
        </w:tc>
        <w:tc>
          <w:tcPr>
            <w:tcW w:w="4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(840,318)</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(1,100,390)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(661,224)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(316,076)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(62,985)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promissory notes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93,365</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9,877,857</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1,642,524</w:t>
            </w:r>
          </w:p>
        </w:tc>
        <w:tc>
          <w:tcPr>
            <w:tcW w:w="40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(6,384,169)</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$ 6,644,465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826,480</w:t>
            </w:r>
          </w:p>
        </w:tc>
        <w:tc>
          <w:tcPr>
            <w:tcW w:w="4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(892,049)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8"/>
              </w:rPr>
              <w:t>Pro forma</w:t>
            </w:r>
            <w:r>
              <w:rPr>
                <w:rFonts w:ascii="Arial" w:cs="Arial" w:eastAsia="Arial" w:hAnsi="Arial"/>
                <w:sz w:val="12"/>
                <w:szCs w:val="12"/>
                <w:b w:val="1"/>
                <w:bCs w:val="1"/>
                <w:color w:val="auto"/>
                <w:w w:val="98"/>
              </w:rPr>
              <w:t>(1)</w:t>
            </w:r>
          </w:p>
        </w:tc>
        <w:tc>
          <w:tcPr>
            <w:tcW w:w="9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w:t>
            </w:r>
          </w:p>
        </w:tc>
        <w:tc>
          <w:tcPr>
            <w:tcW w:w="8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1,660,312</w:t>
            </w:r>
          </w:p>
        </w:tc>
        <w:tc>
          <w:tcPr>
            <w:tcW w:w="120" w:type="dxa"/>
            <w:vAlign w:val="bottom"/>
          </w:tcPr>
          <w:p>
            <w:pPr>
              <w:spacing w:after="0"/>
              <w:rPr>
                <w:sz w:val="18"/>
                <w:szCs w:val="18"/>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8"/>
                <w:szCs w:val="18"/>
                <w:color w:val="auto"/>
                <w:w w:val="96"/>
              </w:rPr>
              <w:t>$ 3,677,467</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19,614,967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(1,668,644)</w:t>
            </w: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348,511</w:t>
            </w: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16,866,734</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2,251,453</w:t>
            </w:r>
          </w:p>
        </w:tc>
        <w:tc>
          <w:tcPr>
            <w:tcW w:w="120" w:type="dxa"/>
            <w:vAlign w:val="bottom"/>
          </w:tcPr>
          <w:p>
            <w:pPr>
              <w:spacing w:after="0"/>
              <w:rPr>
                <w:sz w:val="18"/>
                <w:szCs w:val="18"/>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8"/>
                <w:szCs w:val="18"/>
                <w:color w:val="auto"/>
              </w:rPr>
              <w:t>4,268,608</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19,625,385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3,367,029</w:t>
            </w: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3,367,029</w:t>
            </w: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2,786,306</w:t>
            </w:r>
          </w:p>
        </w:tc>
        <w:tc>
          <w:tcPr>
            <w:tcW w:w="0" w:type="dxa"/>
            <w:vAlign w:val="bottom"/>
          </w:tcPr>
          <w:p>
            <w:pPr>
              <w:spacing w:after="0"/>
              <w:rPr>
                <w:sz w:val="1"/>
                <w:szCs w:val="1"/>
                <w:color w:val="auto"/>
              </w:rPr>
            </w:pPr>
          </w:p>
        </w:tc>
      </w:tr>
      <w:tr>
        <w:trPr>
          <w:trHeight w:val="216"/>
        </w:trPr>
        <w:tc>
          <w:tcPr>
            <w:tcW w:w="5880" w:type="dxa"/>
            <w:vAlign w:val="bottom"/>
            <w:gridSpan w:val="3"/>
          </w:tcPr>
          <w:p>
            <w:pPr>
              <w:ind w:left="20"/>
              <w:spacing w:after="0"/>
              <w:rPr>
                <w:sz w:val="20"/>
                <w:szCs w:val="20"/>
                <w:color w:val="auto"/>
              </w:rPr>
            </w:pPr>
            <w:r>
              <w:rPr>
                <w:rFonts w:ascii="Arial" w:cs="Arial" w:eastAsia="Arial" w:hAnsi="Arial"/>
                <w:sz w:val="18"/>
                <w:szCs w:val="18"/>
                <w:color w:val="auto"/>
              </w:rPr>
              <w:t>Total convertible preferred units and redeemable common member units</w:t>
            </w: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16,362,496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members’ (deficit) equity</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(17,478,072)</w:t>
            </w: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901,579</w:t>
            </w: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16,839,079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hanging="422"/>
        <w:spacing w:after="0" w:line="273"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pro forma balance sheet gives effect to the sale of 285,351 Series A convertible preferred units (“Series A Units”) and issuance of 80,363 warrants for common member units for gross proceeds of $2.0 million, the issuance of 418,559 Series A convertible preferred units with a fair value of approximately $2.8 million, the automatic conversion of all our convertible preferred stock outstanding into an aggregate of 4,836,868 shares of our common stock and the conversion of 368,839 warrants into 187,176 shares of our common stock immediately prior to the completion of this offering based on an assumed initial public offering price of $13.00 per share, which is the midpoint of the price range set forth on the cover page of this prospectus.</w:t>
      </w:r>
    </w:p>
    <w:p>
      <w:pPr>
        <w:spacing w:after="0" w:line="3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21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1521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0" w:hanging="422"/>
        <w:spacing w:after="0" w:line="25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Gives effect on a pro forma basis to the sale and issuance by us of 1,500,000 shares of common stock in this offering at an assumed public offering price of $13.00 per share, which is the midpoint of the price range set forth on the cover page of this prospectus, after deducting underwriting discounts and commissions and estimated offering expenses payable by us.</w:t>
      </w:r>
    </w:p>
    <w:p>
      <w:pPr>
        <w:spacing w:after="0" w:line="2" w:lineRule="exact"/>
        <w:rPr>
          <w:rFonts w:ascii="Arial" w:cs="Arial" w:eastAsia="Arial" w:hAnsi="Arial"/>
          <w:sz w:val="18"/>
          <w:szCs w:val="18"/>
          <w:color w:val="auto"/>
        </w:rPr>
      </w:pPr>
    </w:p>
    <w:p>
      <w:pPr>
        <w:ind w:left="720" w:hanging="422"/>
        <w:spacing w:after="0" w:line="252"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$1.00 increase (decrease) in the assumed initial public offering price of $13.00 per share, which is the midpoint of the price range set forth on the cover page of this prospectus, would increase (decrease) pro forma cash and cash equivalents, total assets and total stockholders’ equity by $1.4 million, assuming that the number of shares offered by us, as set forth on the cover page of this prospectus, remains the same and after deducting estimated underwriting discounts and commissions and estimated offering expenses payable by us. The pro forma information discussed above is illustrative only and will be adjusted based on the actual initial public offering price and other terms of our initial public offering determined at pricing.</w:t>
      </w:r>
    </w:p>
    <w:p>
      <w:pPr>
        <w:spacing w:after="0" w:line="38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financial statements and related notes, before making a decision to invest in our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common stock could decline, and you could lose all or part of your investment.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been profitable and may never achieve or maintain profitability.</w:t>
      </w:r>
    </w:p>
    <w:p>
      <w:pPr>
        <w:spacing w:after="0" w:line="117"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We have not commercialized any products and have yet to generate any revenue from product sales. The amount of our future net losses will depend, in part, on our expenses and our ability to generate revenues. Our current and future product candidates will require substantial additional development time and resources before we may realize revenue from product sales, if at all. We expect to continue to incur significant expenses and operating losses for the foreseeable future. We anticipate that our expenses will increase substantially if and as we:</w:t>
      </w:r>
    </w:p>
    <w:p>
      <w:pPr>
        <w:spacing w:after="0" w:line="63" w:lineRule="exact"/>
        <w:rPr>
          <w:sz w:val="20"/>
          <w:szCs w:val="20"/>
          <w:color w:val="auto"/>
        </w:rPr>
      </w:pPr>
    </w:p>
    <w:p>
      <w:pPr>
        <w:ind w:left="1080" w:right="3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current research and development programs, including conducting laboratory, preclinical and clinical studies for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clinical trials for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assess, acquire or develop additional research programs 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may successfully complete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that may obtain marketing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develop and refine the manufacturing process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of pharmaceutical or biological materials 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develop our anti-hormonal resistance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in-license other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attract and retain new and existing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facilities.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Our first program and lead product candidate, ONA-XR, is currently in Phase 2 clinical trials. No clinical studies have begun on our second program, CLDN6xCD3 bsAb, and our Sigma1 discovery research program is currently in lead optimization and has undergone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It will be several years, if ever, before we obtain regulatory approval for a therapeutic product candidate, at which time any revenues for such product candidate will depend upon many factors, including, market conditions, costs and effectiveness of manufacturing, sales, marketing and distribution operations related to such product candidate, and the terms of any collaboration or other strategic arrangement we may have with respect to such product candidate and levels of reimbursement from third-party payors.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we are unable to develop and commercialize one or more product candidates either alone or with collaborators, including through the potential out-licensing of our product candidates, or if revenues from any product candidate that receives marketing approval or is commercialized are insufficient, we may not achieve profitability or sustain profitability, which would have an adverse effect on the value of our common stock which would be materially adversely affected.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are unable to raise substantial additional capital on acceptable terms, or at all, we may be forced to delay, reduce or eliminate some or all of our research programs, product development activities and commercialization efforts.</w:t>
      </w:r>
    </w:p>
    <w:p>
      <w:pPr>
        <w:spacing w:after="0" w:line="62"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process of identifying product candidates and conducting preclinical and clinical trials is time consuming, expensive, uncertain and takes years to complete. Our operations have consumed substantial amounts of cash since inception. We expect our expenses to increase in connection with our ongoing activities, particularly as we identify, continue the research and development of, initiate clinical trials of, and seek marketing approval for, product candidates. In addition, if any therapeutic product candidate that we develop alone or with collaborators obtains marketing approval, we may incur significant commercialization expenses related to product manufacturing, sales, marketing and distribution efforts. Accordingly, we will need to obtain substantial additional funding in connection with our continuing operations. If we are unable to raise sufficient capital when needed, we may be forced to delay, reduce or eliminate current or future research programs, product development activities and/or commercialization efforts.</w:t>
      </w:r>
    </w:p>
    <w:p>
      <w:pPr>
        <w:spacing w:after="0" w:line="16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obtain sufficient funding on a timely basis or on favorable terms, we may be required to significantly delay, reduce or eliminate one or more of our research or product development programs and/or commercialization efforts or we might have to obtain funds through arrangements, such as out-licensing our product candidates, with collaborative partners or others that may require us to relinquish rights to our technologies or product candidates that we otherwise would not relinquish. We may also be unable to expand our operations or otherwise capitalize on business opportunities as desired. Any of these events could materially adversely affect our financial condition and business prospects.</w:t>
      </w:r>
    </w:p>
    <w:p>
      <w:pPr>
        <w:spacing w:after="0" w:line="30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current business and future prospects and may increase the risk of your investment.</w:t>
      </w:r>
    </w:p>
    <w:p>
      <w:pPr>
        <w:spacing w:after="0" w:line="6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a clinical-stage biopharmaceutical company with a limited operating history. We were founded in 2015 and spent the first three years of our company’s history developing and refining our therapeutic approach, and only since then have we focused our efforts on advancing the development of product candidates.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Investment in biopharmaceutical product development is a highly speculative endeavor and entails substantial upfront capital expenditures. There is significant risk that any product candidate will fail to demonstrate adequate efficacy or an acceptable safety profile, obtain any required regulatory approvals or become commercially viable. Our product candidates and the therapeutic approach we are using are new and unproven. We have commenced Phase 2 human clinical trials for one of our product candidates, but have not demonstrated an ability to initiate clinical trials for our other product candidates or successfully complete any clinical trials, obtain any required marketing approvals, manufacture products, conduct sales, marketing and distribution activities, or arrange for a third party to do any of the foregoing on our behalf.</w:t>
      </w:r>
    </w:p>
    <w:p>
      <w:pPr>
        <w:spacing w:after="0" w:line="178" w:lineRule="exact"/>
        <w:rPr>
          <w:sz w:val="20"/>
          <w:szCs w:val="20"/>
          <w:color w:val="auto"/>
        </w:rPr>
      </w:pPr>
    </w:p>
    <w:p>
      <w:pPr>
        <w:ind w:left="120" w:right="560" w:firstLine="440"/>
        <w:spacing w:after="0" w:line="259" w:lineRule="auto"/>
        <w:rPr>
          <w:sz w:val="20"/>
          <w:szCs w:val="20"/>
          <w:color w:val="auto"/>
        </w:rPr>
      </w:pPr>
      <w:r>
        <w:rPr>
          <w:rFonts w:ascii="Arial" w:cs="Arial" w:eastAsia="Arial" w:hAnsi="Arial"/>
          <w:sz w:val="18"/>
          <w:szCs w:val="18"/>
          <w:color w:val="auto"/>
        </w:rPr>
        <w:t>Consequently, any predictions made about our future success or viability may not be as accurate as they could be if we had a history of successfully developing and commercializing products. Our limited operating history, particularly in light of the rapidly evolving nature of the biopharmaceutical industries and the hormone-dependent cancer therapeutics field, may make it difficult to evaluate our technology and business prospects or to predict our future performance.</w:t>
      </w:r>
    </w:p>
    <w:p>
      <w:pPr>
        <w:spacing w:after="0" w:line="2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pursuing particular research programs or product candidates that may be less successful or profitable than other programs or product candidates.</w:t>
      </w:r>
    </w:p>
    <w:p>
      <w:pPr>
        <w:spacing w:after="0" w:line="6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Research programs to identify new product candidates require substantial technical, financial, and human resources. We may focus our efforts and resources on potential programs or product candidates that ultimately prove to be unsuccessful. The successful completion of a clinical trial with regard to any of our product candidates is not assured despite the expenditure of significant resources in pursuit of their development, and our spending on current and future research and development programs and product candidates may not yield any commercially viable products.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Additionally,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adversely affected by the ongoing coronavirus pandemic.</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outbreak of the novel Coronavirus (“COVID-19”) has evolved into a global pandemic. The extent to which the COVID-19 pandemic impacts our business and operating results will depend on future developments that are highly uncertain and cannot be accurately predicted, including new information that may emerge concerning COVID-19 and the actions to contain the virus or treat its impact, among others.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Should COVID-19 continue to spread, our business operations could be delayed or interrupted. For instance, our research and development may be affected by the pandemic. Site initiation, participant recruitment and enrollment, participant dosing, distribution of clinical trial materials, study monitoring and data analysis may be paused or delayed due to changes in hospital or university policies, federal, state or local regulations, prioritization of hospital resources toward pandemic efforts, or other reasons related to the pandemic. If COVID-19 continues to spread, some participants and clinical investigators may not be able to comply with clinical trial protocols. For example, quarantines or other travel limitations (whether voluntary or required) may impede participant movement, affect sponsor access to study sites, or interrupt healthcare services, and we may be unable to conduct our research activities, including clinical trials.</w:t>
      </w:r>
    </w:p>
    <w:p>
      <w:pPr>
        <w:spacing w:after="0" w:line="19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Infections and deaths related to the pandemic have disrupted and may continue to disrupt the United States’ healthcare and healthcare regulatory systems. Such disruptions could divert healthcare resources away from, or materially delay FDA review and/or approval. It is unknown how long these disruptions could continue, were they to occur. Any elongation or de-prioritization of clinical trials or delay in regulatory review resulting from such disruptions could materially affect the development and study of our product candidates.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the event of a shelter-in-place order or other mandated local travel restrictions, our employees and consultants conducting research and development or manufacturing activities may not be able to access their laboratory or manufacturing space, and our core activities may be significantly limited or curtailed, possibly for an extended period of time.</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spread of COVID-19, which has caused a broad impact globally, including restrictions on travel and quarantine policies put into place by businesses and governments, may have a material economic effect on our business. New or renewed restrictions may be implemented in response to evolving conditions and overall uncertainty about the timing of widespread availability of vaccines. While the potential economic impact brought by and the duration of the pandemic may be difficult to assess or predict, it has already caused, and is likely to result in further, significant disruption of global financial markets, which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9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impact on our operations, and we will continue to monitor the situation closely.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Our governing documents designate the Court of Chancery of the State of Delaware as the sole and exclusive forum for certain types of state law actions and proceedings that may be initiated by our stockholders, which could limit our stockholders’ ability to obtain a favorable judicial forum for disputes with us or our directors, officers, employees or agents.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&amp; restated certificate of incorporation will provide that, unless we consent in writing to the selection of an alternative form, the Court of Chancery of the State of Delaware (or, if the Court of Chancery does not have jurisdiction, the United States District Court for the District of Delaware) will be the sole and exclusive forum for: (1) any derivative action or proceeding brought on our behalf; (2) any action asserting a claim of breach of a fiduciary duty or other wrongdoing by any of our directors, officers, employees or agents to us or our shareholders; (3) any action asserting a claim against us arising pursuant to any provision of the General Corporation Law of the State of Delaware or our amended &amp; restated certificate of incorporation or amended &amp; restated bylaws; (4) any action to interpret, apply, enforce or determine the validity of our amended &amp; restated certificate of incorporation or amended &amp; restated bylaws; or (5) any action asserting a claim governed by the internal affairs doctrine. In addition, our amended &amp; restated certificate of incorporation will provide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Notwithstanding the foregoing, the exclusive forum provision shall not apply to claims seeking to enforce any liability or duty created by the Exchange Act.</w:t>
      </w:r>
    </w:p>
    <w:p>
      <w:pPr>
        <w:spacing w:after="0" w:line="18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This choice of forum provision may limit our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Court of Chancery could face additional litigation costs in pursuing any such claim, particularly if they do not reside in or near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Product Candidates</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business is dependent on the successful development, regulatory approval and commercialization of our therapeutic product candidates, ONA-XR and CLDN6xCD3 bsAb, which are in the early stages of development.</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We have no products approved for sale. The success of our business, including our ability to finance our company and generate any revenue in the future, will primarily depend on the successful development, regulatory approval and commercialization of ONA-XR and CLDN6xCD3 bsAb, as well as other product candidates derived from our anti-hormone resistant therapy approach, which may never occur.</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future, we may also become dependent on other product candidates that we may develop or acquire; however, not all of our product candidates have been tested in humans and given our early stage of development, it may be many years, if at all, before we have demonstrated the safety and efficacy of a hormone-dependent cancer treatment sufficient to warrant approval for commercialization.</w:t>
      </w:r>
    </w:p>
    <w:p>
      <w:pPr>
        <w:spacing w:after="0" w:line="184"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have not previously submitted a new drug application (“NDA”) or biologics license application (“BLA”), to the FDA or similar regulatory approval filings to comparable foreign authorities, for any product candidate, and we cannot be certain that our product candidates will be successful in clinical trials or receive regulatory approval. Further, any future product candidates may not receive regulatory approval even if they 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successful in clinical trials. If we do not receive regulatory approvals for our product candidates, we may not be able to continue our operations. Even if we successfully obtain regulatory approvals to market a product candidate, our revenue will be dependent, in part, upon the size of the markets in the territories for which we gain regulatory approval and have commercial rights. If the markets or patient subsets that we are targeting are not as significant as we estimate, we may not generate significant revenues from sales of such products, if approved.</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in selected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our product candidates, and we may be required to expend significant resources to obtain regulatory approval and to comply with ongoing regulations in these jurisdictions.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clinical and commercial success of our current and any future product candidates will depend on a number of factors, including the following:</w:t>
      </w:r>
    </w:p>
    <w:p>
      <w:pPr>
        <w:spacing w:after="0" w:line="154"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any additional required capital on acceptable terms, or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 IND;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slower or cost more than we currently anticipate and will depend substantially upon the performance of third-party contractors;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similar foreign regulatory agencies to conduct additional clinical trials or other studies beyond those planned to support approval of our product candidates;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endpoint assessments relating to the proposed indications of our product candidates by the FDA and similar foreign regulatory authorities;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consistently provide for manufacturing of our product candidates on a timely basis;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similar foreign regulatory authorities the safety, efficacy and acceptable risk-benefit profile of our product candidates;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89"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physicians, operators of hospitals and clinics and patients to utilize or adopt our anti-hormone resistant therapy approach;</w:t>
      </w:r>
    </w:p>
    <w:p>
      <w:pPr>
        <w:spacing w:after="0" w:line="75" w:lineRule="exact"/>
        <w:rPr>
          <w:rFonts w:ascii="Arial" w:cs="Arial" w:eastAsia="Arial" w:hAnsi="Arial"/>
          <w:sz w:val="18"/>
          <w:szCs w:val="18"/>
          <w:color w:val="auto"/>
        </w:rPr>
      </w:pPr>
    </w:p>
    <w:p>
      <w:pPr>
        <w:ind w:left="1080" w:right="580" w:hanging="424"/>
        <w:spacing w:after="0" w:line="31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successfully develop a commercial strategy and thereafter commercialize our current product candidates or any future product candidates in the United States and internationally, if approved for marketing, sale and distribution in such countries and territories, whether alone or in collaboration with others, including through the potential out-licensing of our product candidates;</w:t>
      </w:r>
    </w:p>
    <w:p>
      <w:pPr>
        <w:spacing w:after="0" w:line="54"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managed care plans, private insurers, government payors (such as Medicare and Medicaid) and other third-party payors for any of our product candidates that may be approved;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convenience of our treatment or dosing regimen;</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demand for our current or future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These factors, many of which are beyond our control, could cause us to experience significant delays or an inability to obtain regulatory approvals or commercialize our current or future product candidates. Even if regulatory approvals are obtained, we may never be able to successfully commercialize any product candidates. Accordingly, we cannot provide assurances that we will be able to generate sufficient revenue through the sale of our product candidate or any future product candidates to continue our business or achieve profitability.</w:t>
      </w:r>
    </w:p>
    <w:p>
      <w:pPr>
        <w:spacing w:after="0" w:line="279"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Our innovative therapy approach is based on novel ideas and technologies that are unproven and may not result in marketable products, which exposes us to unforeseen risks and makes it difficult for us to predict the time and cost of product development and potential for regulatory approval.</w:t>
      </w:r>
    </w:p>
    <w:p>
      <w:pPr>
        <w:spacing w:after="0" w:line="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foundational science and product development approach are based on the selective targeting of hormone-dependent cancers, including by inhibiting progesterone receptor binding to chromatin, and by inhibiting CLDN6, in each case to elicit meaningful anticancer activity. We believe that this approach may offer an improved therapeutic effect by downregulating PR effector functions associated with anti-estrogen resistant and inhibit tumor growth, as well as redirect T-cell-mediated lysis toward malignant cells expressing CLDN6. However, this approach to treating cancer is novel and the scientific research that forms the basis of our efforts to develop therapeutics that effectively target anti-hormone treatment resistance and inhibit membrane protein targets is both preliminary and limited.</w:t>
      </w:r>
    </w:p>
    <w:p>
      <w:pPr>
        <w:spacing w:after="0" w:line="19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As such, we cannot assure you that even if we are able to develop cancer therapeutic candidates capable of addressing anti-estrogen resistance or redirecting T-cell-mediated lysis toward malignant cells, that such therapy would safely and effectively treat cancers. We may spend substantial funds attempting to develop this approach and never succeed in developing a marketable therapeutic.</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Furthermore, no regulatory authority has granted approval for a cancer therapy based on a selective targeting of PR+ or Claudin 6 positive cancers. As such, we believe the FDA has limited experience with evaluating our approach, which may increase the complexity, uncertainty and length of the regulatory approval process for our product candidates. We may never receive approval to market and commercialize any product candidate. Even if we obtain regulatory approval, the approval may be for targets, disease indications, lines of therapy or patient populations that are not as broad as we intended or desired or may require labeling that includes significant use or distribution restrictions or safety warnings.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preclinical studies, early clinical trials or analyses may not be indicative of results obtained in later trials.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results of preclinical studies, early clinical trials or analyses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In addition, conclusions based on promising data from analyses of clinical results may be shown to be incorrect when implemented in prospective clinical trials. Even if our ongoing clinical trials for ONA-XR and future clinical trials for our other product candidates are completed as planned, we cannot be certain that their results will support the safety and efficacy sufficient to obtain regulatory approval.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269"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undesirable side effects, which may delay or prevent marketing approval, or, if approved, require them to be taken off the market, require them to include safety warnings or otherwise limit their sales.</w:t>
      </w:r>
    </w:p>
    <w:p>
      <w:pPr>
        <w:spacing w:after="0" w:line="1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Serious adverse events or undesirable side effects caused by ONA-XR, CLDN6xCD3 bsAb or any other product candidates could cause us or regulatory authorities to interrupt, delay or halt clinical trials and could result in a more restrictive label or the delay or denial of regulatory approval by the FDA or other comparable foreign authorities. Results of any clinical trial we conduct could reveal a high and unacceptable severity and prevalence of side effects or unexpected characteristics. Patients treated with ONA-XR to date, at high doses have experienced adverse events that include, but are not limited to, fatigue, liver enzyme elevations and nausea.</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unacceptable side effects arise in the development of our product candidates, we, the FDA or the institutional review boards at the institutions in which our studies are conducted, or the data safety monitoring board, if constituted for our clinical trials, could recommend a suspension or termination of our clinical trials, or the FDA or comparable foreign regulatory authorities could order us to cease further development of or deny approval of a product candidate for any or all targeted indications. In addition, drug-related side effects could affect patient recruitment or the ability of enrolled patients to complete a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if approved, and could significantly harm our business, results of operations and prospects.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The success of our business depends primarily upon our ability to identify, develop and commercialize products using our proprietary technologies.</w:t>
      </w:r>
    </w:p>
    <w:p>
      <w:pPr>
        <w:spacing w:after="0" w:line="15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Besides our ONA-XR product candidate, all of our current product candidates and product development programs are still in the IND validation process. We may be unsuccessful in advancing those product candidates into clinical development or in identifying and developing additional product candidates.</w:t>
      </w:r>
    </w:p>
    <w:p>
      <w:pPr>
        <w:spacing w:after="0" w:line="184" w:lineRule="exact"/>
        <w:rPr>
          <w:sz w:val="20"/>
          <w:szCs w:val="20"/>
          <w:color w:val="auto"/>
        </w:rPr>
      </w:pPr>
    </w:p>
    <w:p>
      <w:pPr>
        <w:ind w:left="120" w:right="1260" w:firstLine="440"/>
        <w:spacing w:after="0" w:line="277" w:lineRule="auto"/>
        <w:rPr>
          <w:sz w:val="20"/>
          <w:szCs w:val="20"/>
          <w:color w:val="auto"/>
        </w:rPr>
      </w:pPr>
      <w:r>
        <w:rPr>
          <w:rFonts w:ascii="Arial" w:cs="Arial" w:eastAsia="Arial" w:hAnsi="Arial"/>
          <w:sz w:val="18"/>
          <w:szCs w:val="18"/>
          <w:color w:val="auto"/>
        </w:rPr>
        <w:t>Our ability to identify and develop product candidates is subject to the numerous risks associated with preclinical and early stage biopharmaceutical development activities, including that:</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our Sigma1 discovery research program may be ineffective in identifying additional product candidates;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 including through the potential out-licensing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enter into collaborative arrangements to facilitate development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be covered by third parties’ patents or other exclusive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regulatory pathway for a product candidate may be too complex, expensive or otherwise difficult to navigate successfully; or</w:t>
      </w:r>
    </w:p>
    <w:p>
      <w:pPr>
        <w:spacing w:after="0" w:line="142" w:lineRule="exact"/>
        <w:rPr>
          <w:rFonts w:ascii="Arial" w:cs="Arial" w:eastAsia="Arial" w:hAnsi="Arial"/>
          <w:sz w:val="17"/>
          <w:szCs w:val="17"/>
          <w:color w:val="auto"/>
        </w:rPr>
      </w:pPr>
    </w:p>
    <w:p>
      <w:pPr>
        <w:ind w:left="1080" w:hanging="424"/>
        <w:spacing w:after="0" w:line="31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product candidates may be shown to not be effective, have harmful side effects or otherwise pose risks not outweighed by such product candidate’s benefits or have other characteristics that may make the products impractical to manufacture, unlikely to receive any required marketing approval, unlikely to generate sufficient market demand or otherwise not achieve profitable commercialization.</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Even if we do commence additional clinical trials of product candidates and continue to identify new product candidates, such product candidates may never be approved. Failure to successfully identify and develop new product candidates and obtain regulatory approvals for our products would have a material adverse effect on our business and financial condition and could cause us to cease operations.</w:t>
      </w:r>
    </w:p>
    <w:p>
      <w:pPr>
        <w:spacing w:after="0" w:line="273"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If our product candidates do not achieve projected development milestones or commercialization in the announced or expected timeframes, the further development or commercialization of such product candidates may be delayed, and our business will be harmed.</w:t>
      </w:r>
    </w:p>
    <w:p>
      <w:pPr>
        <w:spacing w:after="0" w:line="1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sometimes estimate, or may in the future estimate, the timing of the accomplishment of various scientific, clinical, manufacturing, regulatory and other product development objectives. These milestones may include our expectations regarding the commencement or completion of scientific studies or clinical trials, the submission of regulatory filings, the receipt of marketing approval or the realization of other commercialization objectives.</w:t>
      </w:r>
    </w:p>
    <w:p>
      <w:pPr>
        <w:spacing w:after="0" w:line="14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our collaborators or ourselves fail to achieve announced milestones in the expected timeframes, the commercialization of the product candidates may be delayed, our credibility may be undermined, our business and results of operations may be harmed, and the price of our common stock may decline.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products that we develop alone or with collaborators.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face an inherent risk of product liability and professional indemnity exposure related to the testing in clinical trials of our product candidates.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face an even greater liability risk if we commercially sell any products that we or our collaborators may develop for human use.</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Manufacturing defects, errors in product distribution or storage processes, improper administration or application and known or unknown side effects of product usage may result in liability claims against us or third parties with which we have relationships. These actions could include claims resulting from acts by our collaborators, licensees and subcontractors over which we have little or no control. For example, our liability could be sought by patients participating in clinical trials for potential therapeutic product candidates as a result of unexpected side effects, improper product administration or the deterioration of a patient’s condition, patient injury or even death.</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Criminal or civil proceedings might be filed against us by patients, regulatory authorities, biopharmaceutical companies and any other third party using or marketing any product candidates or products that we develop alone or with collaborators. On occasion, large judgments have been awarded in class action lawsuits based on products that had unanticipated adverse effects. If we cannot successfully defend ourselves against claims that product candidates or products we develop alone or with collaborators caused harm, we could incur substantial liabilities.</w:t>
      </w:r>
    </w:p>
    <w:p>
      <w:pPr>
        <w:spacing w:after="0" w:line="17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Clinical development does not always fully characterize the safety and efficacy profile of a new medicine, and it is always possible that a drug or biologic, even after regulatory approval, may exhibit unforeseen side effects. If our product candidates were to cause adverse side effects during clinical trials or after approval, we may be exposed to substantial liabilities.</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Product liability insurance coverage may not be adequate to cover all liabilities that we may incur. We anticipate that we will need to increase our insurance coverage when we expand our clinical trials and if our collaborators or ourselves successfully commercialize any products.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 Structure and Operations</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b w:val="1"/>
          <w:bCs w:val="1"/>
          <w:i w:val="1"/>
          <w:iCs w:val="1"/>
          <w:color w:val="auto"/>
        </w:rPr>
        <w:t>Our reliance on a central team consisting of a limited number of employees and consultants who provide various administrative, research and development, and other services across our organization presents operational challenges that may adversely affect our business.</w:t>
      </w:r>
    </w:p>
    <w:p>
      <w:pPr>
        <w:spacing w:after="0" w:line="1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of April 30, 2021, we had two full-time employees. We also have three consultants who we rely on for research and development, business development and other services. While we believe this structure enables us to reduce certain infrastructure costs, the small size of our centralized team may limit our ability to devote adequate personnel, time and resources to support the operations of our business, including our research and development activities, and the management of financial, accounting and reporting matters. If our centralized team fails to provide adequate administrative, research and development, or other services across our entire organization, our business, financial condition and results of operations could be harmed.</w:t>
      </w:r>
    </w:p>
    <w:p>
      <w:pPr>
        <w:spacing w:after="0" w:line="26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Chief Legal Officer, Chief Medical Officer, Senior Vice President of Research and Development, Head of Chemistry Manufacturing Controls (“CMC”) and Regulatory, and other key executives and to attract, retain and motivate qualified personnel.</w:t>
      </w:r>
    </w:p>
    <w:p>
      <w:pPr>
        <w:spacing w:after="0" w:line="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are highly dependent on the research and development experience, technical skills, leadership and continued service of certain members of our management and scientific teams, including Martin Lehr, our Chief Executive Officer, Alex Levit, our Chief Legal Officer, Tarek Sahmoud, our Chief Medical Officer, Evan Dick, our Senior Vice President of Research and Development, and Bill Rencher, our Head of CMC and Regulatory.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Although we have formal employment agreements and consulting agreements with substantially all of our executive officers, these agreements do not prevent them from terminating their employment with us at any time. The loss of the services of any of these persons could impede the achievement of our research, development and commercialization objectives.</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Recruiting and retaining qualified scientific, clinical, manufacturing and, if we retain commercialization responsibility for any product candidate we develop alone or with collaborators, sales and marketing personnel, will also be critical to our success. We may not be able to attract and retain these personnel on acceptable terms or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w:t>
      </w:r>
    </w:p>
    <w:p>
      <w:pPr>
        <w:spacing w:after="0" w:line="17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inability to recruit, integrate, motivate and retain additional skilled and qualified personnel, or the loss of services of certain executives, key employees, consultants or advisors, may impede the progress of our research, development and commercialization objectives and have a material adverse effect on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will need to expand our organization, and we may experience difficulties in managing this growth, which could disrupt our operations.</w:t>
      </w:r>
    </w:p>
    <w:p>
      <w:pPr>
        <w:spacing w:after="0" w:line="14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need to significantly expand our organization, and our future financial performance, ability to develop and commercialize product candidates alone or with collaborators and ability to compete effectively will depend in part on our ability to effectively manage any future growth. We may have difficulty identifying, hiring and integrating new personnel.</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Many of the biopharmaceutical companies that we compete against for qualified personnel and consultants have greater financial and other resources, different risk profiles and a longer history than we do. If we are unable to continue to attract and retain high-quality personnel and consultants, the rate and success at which we can identify and develop product candidates, enter into collaborative arrangements and otherwise operate our business will be limited.</w:t>
      </w:r>
    </w:p>
    <w:p>
      <w:pPr>
        <w:spacing w:after="0" w:line="18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Future growth would impose significant additional responsibilities on our management, including the need to identify, recruit, maintain, motivate and integrate additional employees, consultants and contractors. Management may need to divert a disproportionate amount of its attention away from our day-to-day activities and devote a substantial amount of time to managing these growth activities. Due to our limited financial resources and the limited experience of our management team in managing a company with such anticipated growth, we may not be able to effectively manage the expected expansion of our operations or recruit and train additional qualified personnel.</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Moreover, the expected physical expansion of our operations may lead to significant costs and may divert our management and business development resources from other projects, such as the development of product candidates. If we are not able to effectively manage the expansion of our operations, it may result in weaknesses in our infrastructure, increase our expenses more than expected, give rise to operational mistakes, loss of business opportunities, loss of employees, consultants and contractors and reduced productivity.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protect us only from some business risks, which leaves us exposed to significant uninsured liabilities.</w:t>
      </w:r>
    </w:p>
    <w:p>
      <w:pPr>
        <w:spacing w:after="0" w:line="15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do not carry insurance for all categories of risk that our business may encounter. If we obtain marketing approval for any product candidates that we or our collaborators may develop, we intend to acquire insurance coverage to include the sale of commercial products, but we may be unable to obtain such insurance 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commercially reasonable terms or in adequate amounts. We do not carry specific biological or hazardous waste insurance coverage, and our property, casualty and general liability insurance policies specifically exclude coverage for damages and fines arising from biological or hazardous waste exposure or contamination.</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Accordingly, in the event of contamination or injury, we could be held liable for damages or be penalized with fines in an amount exceeding our resources, and clinical trials or regulatory approvals for any of our product candidates could be suspended.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our board committees or as our executive officers.</w:t>
      </w:r>
    </w:p>
    <w:p>
      <w:pPr>
        <w:spacing w:after="0" w:line="1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Insurance coverage is becoming increasingly expensive, and in the future, we may not be able to maintain insurance coverage at a reasonable cost or in sufficient amounts to protect us against losses. We do not know if we will be able to maintain existing insurance with adequate levels of coverage, and any liability insurance coverage we acquire in the future may not be sufficient to reimburse us for any expenses or losses we may suffer. A successful liability claim or series of claims brought against us could require us to pay substantial amounts and cause our share price to decline and, if judgments exceed our insurance coverage, could adversely affect our results of operations and business, including preventing or limiting the development and commercialization of any product candidates that we or our collaborators may develop.</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certain research, development and commercialization activities, and if any such collaborations are not successful, it may harm our business and prospects.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Working with collaborators poses several significant risks, including the following:</w:t>
      </w:r>
    </w:p>
    <w:p>
      <w:pPr>
        <w:spacing w:after="0" w:line="131" w:lineRule="exact"/>
        <w:rPr>
          <w:sz w:val="20"/>
          <w:szCs w:val="20"/>
          <w:color w:val="auto"/>
        </w:rPr>
      </w:pPr>
    </w:p>
    <w:p>
      <w:pPr>
        <w:ind w:left="1080" w:right="6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availability of resource allocation and other developmental decisions made by our collaborators about the product candidates that we seek to develop with them may result in the delay or termination of research programs, studies or trials, repetition of or initiation of new studies or trials or provision of insufficient funding or resources for the completion of studies or trials or the successful marketing and distribution of any product candidates that may receive approval;</w:t>
      </w:r>
    </w:p>
    <w:p>
      <w:pPr>
        <w:spacing w:after="0" w:line="92"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 candidates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and</w:t>
      </w:r>
    </w:p>
    <w:p>
      <w:pPr>
        <w:spacing w:after="0" w:line="29" w:lineRule="exact"/>
        <w:rPr>
          <w:rFonts w:ascii="Arial" w:cs="Arial" w:eastAsia="Arial" w:hAnsi="Arial"/>
          <w:sz w:val="16"/>
          <w:szCs w:val="16"/>
          <w:color w:val="auto"/>
        </w:rPr>
      </w:pPr>
    </w:p>
    <w:p>
      <w:pPr>
        <w:ind w:left="1080" w:right="114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disputes may arise between us and our collaborators that result in the delay or termination of the research, development or commercialization activities or that result in costly litigation or arbitration that diverts management attention and resources.</w:t>
      </w:r>
    </w:p>
    <w:p>
      <w:pPr>
        <w:spacing w:after="0" w:line="12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ability to generate revenues from these arrangements will depend on our collaborators’ abilities to successfully perform the functions assigned to them in these arrangements. If our collaborations, including those in which we may out-license our product candidates, do not result in the successful development and commercialization of product candidates, or if one of our collaborators terminates its agreement with us, we may not receive the expected deliverables or services from our collaborators, nor receive any future funding or milestone or royalty payments under the collaboration.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If we do not receive the funding or expected deliverables or services from our collaborators, we expect under these agreements, our development of product candidates could be delayed, and we may need additional resources to develop such product candidates. In addition, if one of our collaborators terminates its agreement with us, we may find it more difficult to find a suitable replacement collaborator or attract new collaborators and may need to raise additional capital to pursue further development or commercialization of the applicable product candidates.</w:t>
      </w:r>
    </w:p>
    <w:p>
      <w:pPr>
        <w:spacing w:after="0" w:line="17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These events could delay development programs and negatively impact the perception of our company in business and financial communities. Failure to develop or maintain relationships with any current collaborators could result in the loss of opportunity to work with that collaborator or reputational damage that could impact our relationships with other collaborators in the relatively small industry communities in which we operate.</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Moreover, all of the risks relating to product development, regulatory approval and commercialization described in this prospectus apply to the activities of our collaborators. If our existing collaboration agreements or any collaborative or strategic relationships we may establish in the future are not effective and successful, it may damage our reputation and business prospects, delay or prevent the development and commercialization of product candidates and inhibit or preclude our ability to realize any revenues.</w:t>
      </w:r>
    </w:p>
    <w:p>
      <w:pPr>
        <w:spacing w:after="0" w:line="29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We have relied on and we expect to continue to rely on third parties to conduct, supervise and monitor our clinical trials and some aspects of our research and preclinical testing, and if those third parties do not successfully carry out their contractual duties, comply with regulatory requirements, or otherwise perform in a satisfactory manner, we may not be able to obtain regulatory approval or commercialize product candidates, or such approval or commercialization may be delayed, and our business may be substantially harmed.</w:t>
      </w:r>
    </w:p>
    <w:p>
      <w:pPr>
        <w:spacing w:after="0" w:line="4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have relied on and we expect to continue to rely on medical institutions, clinical investigators, contract laboratories and other third parties, such as contract research organizations (“CROs”) to conduct preclinical studies and clinical trials for our product candidates. Nevertheless, we are responsible for ensuring that each of our studies and trials is conducted in accordance with the applicable protocol, legal and regulatory requirements and scientific standards, and our reliance on such third parties will not relieve us of our regulatory responsibilities. For example, we remain responsible for ensuring that each of our clinical trials is conducted in accordance with the general investigational plan and protocols for the trial. Moreover, the FDA requires us to comply with regulations, commonly referred to as good clinical practices, or GCPs, for conducting, monitoring, recording and reporting the results of clinical trials to assure that data and reported results are credible and accurate and that the rights, integrity and confidentiality of trial participants are protected.</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Although we have designed and intend to design future trials for our product candidates either alone or with collaborators, third parties may conduct all of the trials. As a result, many important aspects of our research and development programs, including their conduct and timing, will be outside of our direct control. Our reliance on third parties to conduct future studies and trials will also result in less direct control over the management of data developed through studies and trials than would be the case if we were relying entirely upon our own staff. Communicating with outside parties can also be challenging, potentially leading to mistakes and difficulties in coordinating activities. Such third parties may have staffing difficulties, fail to comply with contractual obligations, experience regulatory compliance issues, undergo changes in priorities, become financially distressed or form relationships with other entities, some of which may be our competitors.</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also face the risk of potential unauthorized disclosure or misappropriation of our intellectual property by CROs or other third parties, which may reduce our trade secret protection and allow our potential competitors to access and exploit our proprietary technology.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we, our collaborators, our CROs or other third parties fail to comply with applicable GCPs, the clinical data generated in our clinical trials may be deemed unreliable and FDA or comparable foreign regulatory authorities may require us to perform additional clinical trials before approving our marketing applications. We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also are required to register certain ongoing clinical trials and post the results of such completed clinical trials on a government-sponsored database, within certain timeframes. Failure to do so can result in fines, adverse publicity and civil and criminal sanctions.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our CROs or other third parties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trials for product candidates may be extended, delayed or terminated, and we or our collaborators may not be able to obtain regulatory approval for, or successfully commercialize, any product candidate that we develop. If we are required to repeat, extend the duration of or increase the size of any trials we conduct, it could significantly delay commercialization and require significantly greater expenditures.</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 result of any of these factors, our financial results and the commercial prospects for any product candidate that we or our collaborators may develop would be harmed, our costs could increase and our ability to generate revenues could be delayed.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If we are unable to obtain sufficient quantities of raw materials and supplies, at acceptable prices and on a timely basis, it could harm our business.</w:t>
      </w:r>
    </w:p>
    <w:p>
      <w:pPr>
        <w:spacing w:after="0" w:line="15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dependent on third parties for the supply of various pharmaceutical and biological materials and the manufacture of product supplies that are necessary to produce our product candidates. The supply of these materials could be reduced or interrupted at any time. In such case, identifying and engaging an alternative supplier or manufacturer could result in delay, and we may not be able to find other acceptable suppliers or manufacturers on acceptable terms, or at all.</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Changing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or our collaborators may not be able to develop, manufacture and market product candidates in a timely and competitive manner, or at all. If any of our product candidates receives approval, we will likely need to seek alternative sources of supply of raw materials or manufactured product supplies and there can be no assurance that we will be able to establish such relationships to provide such supplies on commercially reasonable terms or at acceptable quality levels, if at all. If we are unable to identify and procure additional sources of supply that fit our required needs, we could face substantial delays or incur additional costs in procuring such materials.</w:t>
      </w:r>
    </w:p>
    <w:p>
      <w:pPr>
        <w:spacing w:after="0" w:line="286"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We may rely on third parties for the manufacturing process of product candidates, and failure by those parties to adequately perform their obligations could harm our business.</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do not currently own any facility that may be used as our clinical-scale manufacturing and processing facility and expect that we will rely on outside vendors for at least a portion of the manufacturing process of product candidates that we or our collaborators may develop. The facilities used by our contract manufacturers to manufacture product candidates must be approved by the FDA or other foreign regulatory agencies pursuant to inspections that will be conducted after we submit an application to the FDA or other foreign regulatory agencies. To the extent that we or our collaborators engage third parties for manufacturing services, we will not control the manufacturing process of, and will be completely dependent on, our contract manufacturing providers for compliance with cGMP requirements for manufacture of the product candidates.</w:t>
      </w:r>
    </w:p>
    <w:p>
      <w:pPr>
        <w:spacing w:after="0" w:line="16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have not yet caused any product candidates to be manufactured or processed on a commercial scale and may not be able to do so. We will make changes as we work to optimize the manufacturing process, and we cannot be sure that even minor changes in the process will result in products that are safe and effective. If our contract manufacturers cannot successfully manufacture material that conforms to our specifications and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the FDA or a comparable foreign regulatory authority does not approve these facilities for the manufacture of product candidates or if it withdraws any such approval in the future, we may need to find alternative manufacturing facilities, which would significantly impact our ability to develop, obtain regulatory approval for or market any of our or our collaborators’ potential products.</w:t>
      </w:r>
    </w:p>
    <w:p>
      <w:pPr>
        <w:spacing w:after="0" w:line="292" w:lineRule="exact"/>
        <w:rPr>
          <w:sz w:val="20"/>
          <w:szCs w:val="20"/>
          <w:color w:val="auto"/>
        </w:rPr>
      </w:pPr>
    </w:p>
    <w:p>
      <w:pPr>
        <w:ind w:left="120" w:right="118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research, development and commercialization plans.</w:t>
      </w:r>
    </w:p>
    <w:p>
      <w:pPr>
        <w:spacing w:after="0" w:line="6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Our research and product development programs and the potential commercialization of our product candidates will require substantial additional cash to fund expenses, and we expect that we will continue to seek collaborative arrangements, including the potential out-licensing of our product candidates, for the development and potential commercialization of current and future product candidates or the development of ancillary technologies.</w:t>
      </w:r>
    </w:p>
    <w:p>
      <w:pPr>
        <w:spacing w:after="0" w:line="14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an assessment of the opportunities and risks of our product candidate, the design or results of studies or trials, the likelihood of approval, if necessary, by the USDA, the FDA or similar regulatory authorities outside the United States, the potential market for the subject product candidate, the costs and complexities of manufacturing and delivering such product candidate to patients, the potential of competing products and industry and market conditions generally.</w:t>
      </w:r>
    </w:p>
    <w:p>
      <w:pPr>
        <w:spacing w:after="0" w:line="178"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Collaborations are complex and time-consuming to negotiate and document. We may not be able to negotiate collaborations on a timely basis, on acceptable terms, or at all. If we do enter into additional collaboration agreements, including out-licensing our lead product candidate, ONA-XR, the negotiated terms may force us to relinquish rights that diminish our potential profitability from development and commercialization of the subject product candidates or others. Such collaborations may also impact our ability to control the nature, timing and cadence of developing and commercializing the product candidates subject to such collaborations. If we are unable to enter into additional collaboration agreements, we may have to curtail the research and development of the product candidate for which we are seeking to collaborate, reduce or delay research and development programs, delay potential commercialization timelines, reduce the scope of any sales or marketing activities or undertake research, development or commercialization activities at our own expense.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6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including biologics and pharmaceuticals, are subject to extensive regulation by the FDA and other regulatory authorities in the United States. We expect the novel nature of our product candidates to create further challenges in obtaining regulatory approval. For example, the FDA has limited experience with commercial development of anti-estrogen resistance inhibition therapies for cancer.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makes decisions consistent with the Advisory Committee’s recommendations. Accordingly, the regulatory approval pathway for our product candidates may be uncertain, complex, expensive and lengthy, and approval may not be obtained.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authorization to begin a trial, if applicable;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patient by patient basis for use in clinical trials.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The FDA’s review of our data of our ongoing clinical trials may, depending on the data, also result in the delay, suspension or termination of one or more clinical trials, which would also delay or prevent the initiation of our other planned clinical trials.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our product candidates.</w:t>
      </w:r>
    </w:p>
    <w:p>
      <w:pPr>
        <w:spacing w:after="0" w:line="2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expect that CLDN6xCD3 bsAb will be regulated as biological products, or biologics, and therefore they may be subject to competition sooner than anticipated.</w:t>
      </w:r>
    </w:p>
    <w:p>
      <w:pPr>
        <w:spacing w:after="0" w:line="6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Biologics Price Competition and Innovation Act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Biologics Price Competition and Innovation Act, an application for a biosimilar product cannot be approved by the FDA until 12 years after the reference product was approved under a BLA. The law is complex</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and is still being interpreted and implemented by the FDA. As a result, its ultimate impact, implementation, and meaning are subject to uncertainty. While it is uncertain when such processes intended to implement the Biologics Price Competition and Innovation Act may be fully adopted by the FDA, any such processes could have a material adverse effect on the future commercial prospects for our biological products.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that CLDN6xCD3 bsAb, if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may disagree with our regulatory plan and we may fail to obtain regulatory approval of our product candidates.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If and when our ongoing Phase 2 clinical trials for ONA-XR and planned clinical trials for our other initial product candidates are completed and, assuming positive data, we expect to advance to potential registrational trials. The general approach for FDA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If the results from our clinical trials are sufficiently compelling, we intend to discuss with the FDA submission of a BLA or NDA, as applicable for the relevant product candidate. However, we do not have any agreement or guidance from the FDA that our regulatory development plans will be sufficient for submission of a BLA or NDA, as applicable for the relevant product candidate. For example, the FDA may require that we conduct a comparative trial against an approved therapy, which would significantly delay our development timelines and require substantially more resources.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FDA may grant accelerated approval for our product candidates and, as a condition for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an accelerated approval strategy is warranted given the limited alternatives for patients that our initial product candidates target, but the FDA may ultimately require a Phase 3 clinical trial prior to approval, particularly since our product candidates represent a novel treatment. In addition, the standard of care may change with the approval of new products in the same indications that we are studying. This may result in the FDA or other regulatory agencies requesting additional studies to show that our product candidate is superior to the new products.</w:t>
      </w:r>
    </w:p>
    <w:p>
      <w:pPr>
        <w:spacing w:after="0" w:line="19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clinical trial results may also not support approval. In addition, our product candidates could fail to receive regulatory approval for many reasons, including the following:</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 including due to the heterogeneity of patient populations;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jc w:val="both"/>
        <w:ind w:left="1080" w:right="1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NDA, as applicable, or other comparable submission in foreign jurisdictions or to obtain regulatory approval in the United States or elsewhere;</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will review our manufacturing process and inspect our commercial manufacturing facility and may not approve our manufacturing process or facility;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300" w:lineRule="exact"/>
        <w:rPr>
          <w:sz w:val="20"/>
          <w:szCs w:val="20"/>
          <w:color w:val="auto"/>
        </w:rPr>
      </w:pPr>
    </w:p>
    <w:p>
      <w:pPr>
        <w:jc w:val="both"/>
        <w:ind w:left="120" w:right="340"/>
        <w:spacing w:after="0" w:line="375" w:lineRule="auto"/>
        <w:rPr>
          <w:sz w:val="20"/>
          <w:szCs w:val="20"/>
          <w:color w:val="auto"/>
        </w:rPr>
      </w:pPr>
      <w:r>
        <w:rPr>
          <w:rFonts w:ascii="Arial" w:cs="Arial" w:eastAsia="Arial" w:hAnsi="Arial"/>
          <w:sz w:val="15"/>
          <w:szCs w:val="15"/>
          <w:b w:val="1"/>
          <w:bCs w:val="1"/>
          <w:i w:val="1"/>
          <w:iCs w:val="1"/>
          <w:color w:val="auto"/>
        </w:rPr>
        <w:t>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Risk Evaluation and Mitigation Strategy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As such, we and our contract manufacturers will be subject to continual review and inspections to assess compliance with cGMP 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 Further, we will be required to comply with FDA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Later discovery of previously unknown problems with our product candidates, including adverse events of unanticipated severity or frequency, or with our third-party suppliers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risk evaluation and mitigation strategy program. Other potential consequences include, among other things:</w:t>
      </w:r>
    </w:p>
    <w:p>
      <w:pPr>
        <w:spacing w:after="0" w:line="74" w:lineRule="exact"/>
        <w:rPr>
          <w:sz w:val="20"/>
          <w:szCs w:val="20"/>
          <w:color w:val="auto"/>
        </w:rPr>
      </w:pPr>
    </w:p>
    <w:p>
      <w:pPr>
        <w:ind w:left="1080" w:right="5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use of progesterone receptor and protein inhibitors as potential cancer treatments are recent developments and may not become broadly accepted by physicians, patients, hospitals, cancer treatment centers and others in the medical community and we may not be able to convince them to use our product candidates for many reasons. Additional factors will influence whether our product candidates are accepted in the market, including:</w:t>
      </w:r>
    </w:p>
    <w:p>
      <w:pPr>
        <w:spacing w:after="0" w:line="54"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relative convenience and ease of administration, including as compared to alternative treatments and competitive therapies;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8" w:lineRule="exact"/>
        <w:rPr>
          <w:sz w:val="20"/>
          <w:szCs w:val="20"/>
          <w:color w:val="auto"/>
        </w:rPr>
      </w:pPr>
    </w:p>
    <w:p>
      <w:pPr>
        <w:jc w:val="both"/>
        <w:ind w:left="120" w:right="720" w:firstLine="440"/>
        <w:spacing w:after="0" w:line="34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2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5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the Centers for Medicare &amp; Medicaid Services, or the CMS, revises the reimbursement systems used to reimburse health care providers, including the Medicare Physician Fee Schedule and Outpatient Prospective Payment System, which may result in reduced Medicare payments. In some cases, private third-party payers rely on all or portions of Medicare payment systems to determine payment rates. Changes to government healthcare programs that reduce payments under these programs may negatively impact payments from private third-party payers, and reduce the willingness of physicians to use our product candidates.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Europe, the pricing of drugs and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sell our product candidates, if approved, profitably.</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payors. Among the provisions of the ACA of importance to the pharmaceutical and biotechnology industries, which includes biologics, are the following:</w:t>
      </w:r>
    </w:p>
    <w:p>
      <w:pPr>
        <w:spacing w:after="0" w:line="70" w:lineRule="exact"/>
        <w:rPr>
          <w:sz w:val="20"/>
          <w:szCs w:val="20"/>
          <w:color w:val="auto"/>
        </w:rPr>
      </w:pPr>
    </w:p>
    <w:p>
      <w:pPr>
        <w:ind w:left="1080" w:right="60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manufacturers and importers of certain biologics with annual sales of more than $5 million made to or covered by specified federal healthcare programs are required to pay an annual, nondeductible fee according to their market share of all such sales;</w:t>
      </w:r>
    </w:p>
    <w:p>
      <w:pPr>
        <w:spacing w:after="0" w:line="29" w:lineRule="exact"/>
        <w:rPr>
          <w:rFonts w:ascii="Arial" w:cs="Arial" w:eastAsia="Arial" w:hAnsi="Arial"/>
          <w:sz w:val="16"/>
          <w:szCs w:val="16"/>
          <w:color w:val="auto"/>
        </w:rPr>
      </w:pPr>
    </w:p>
    <w:p>
      <w:pPr>
        <w:jc w:val="both"/>
        <w:ind w:left="1080" w:right="6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of the average manufacturer price for most branded drugs, biologics,and biosimilars and to 13.0% for generic drug, and cap of the total rebate amount for innovator drugs at 100% of the Average Manufacturer Price, or AMP;</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certain drugs and biologics, including our product candidates, that are inhaled, infused, instilled, implanted, or injected;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program, commonly referred to as the “340B Program;”</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also known as the “Physician Payments Sunshine Act;”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legislation enacted in 2017 informally titled the Tax Cuts and Jobs Act of 2017,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In November 2020, the Supreme Court of the United States heard oral arguments in the appeal of this case, but it is uncertain when the Supreme Court will rule on this case. It is unclear how this and other efforts to challenge, repeal, or replace the ACA will impact the ACA or our business.</w:t>
      </w:r>
    </w:p>
    <w:p>
      <w:pPr>
        <w:spacing w:after="0" w:line="19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which, among other things, have reduced Medicare payments to several types of providers, including hospitals and cancer treatment centers.</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These new laws or any other similar laws introduced in the future, as well as regulatory actions that may be taken by CMS, may result in additional reductions in Medicare and other healthcare funding, which could negatively affect our customers and accordingly, our financial operations. Moreover, payment methodologies may be subject to changes in healthcare legislation and regulatory initiatives. Additionally, individual states in the United States have passed legislation and implemented regulations designed to control pharmaceutical and biological product pricing and costs. Similar developments have occurred outside of the United States, including in the European Union where healthcare budgetary constraints have resulted in restrictions on the pricing and reimbursement of medicines by relevant health service providers.</w:t>
      </w:r>
    </w:p>
    <w:p>
      <w:pPr>
        <w:spacing w:after="0" w:line="17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To obtain reimbursement or pricing approval in some European Union member states, we may be required to conduct studies that compare the cost-effectiveness of our product candidates to other therapies that are considered the local standard of care. It is also possible that additional governmental action is taken in response to address the COVID-19 pandemic. We cannot predict the likelihood, nature, or extent of government regulation that may arise from future legislation or administrative action in the United States, particularly as a result of the recent presidential election,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business position.</w:t>
      </w:r>
    </w:p>
    <w:p>
      <w:pPr>
        <w:spacing w:after="0" w:line="6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patent positions of biopharmaceutical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difficult to determine, and are often affected materially by the facts and circumstances that pertain to the patented compositions and the related patent claims. The standards of the United States Patent and Trademark Office (the USPTO) and its foreign counterparts are sometimes uncertain and could change in the future.</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Consequently, the issuance and scope of patents cannot be predicted with certainty. Patents, if issued, may be challenged, invalidated or designed around. U.S. patents and patent applications may also be subject to interference or derivation proceedings, and U.S. patents may be subject to reexamination, post-grant review and/or inter parties review proceedings in the USPTO.</w:t>
      </w:r>
    </w:p>
    <w:p>
      <w:pPr>
        <w:spacing w:after="0" w:line="18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inter parties review and opposition proceedings may be costly. Accordingly, rights under any issued patents may not provide us with sufficient protection against competitive products or processes.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Furthermore, even if not challenged, our patents and patent applications may not adequately protect our technology and any product candidates or products that we develop alone or with collaborators or prevent others from designing their products to avoid being covered by our claims. If the breadth or strength of protection provided by the patents and patent applications that we hold with respect to our product candidates or potential products is threatened, it could dissuade companies from collaborating with us to develop, and could threaten our or their ability to successfully commercialize, such product candidates or potential products.</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changes in, or different interpretations of, patent laws in the United States and other countries may permit others to use our discoveries or to develop and commercialize our technology and product candidates or products without providing any compensation to us, or may limit the scope of patent protection that we are able to obtain. The laws of some countries do not protect intellectual property rights to the same extent as U.S. laws, and those countries may lack adequate rules and procedures for defending our intellectual property rights.</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rely on our outside counsel and employ an outside firm to pay these fees due to USPTO and non-US patent agencies. The USPTO and various non-US governmental patent agencies require compliance with a number of procedural, documentary, fee payment and other similar provisions during the patent application process. Although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which would have a material adverse effect on our business.</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the patent applications we hold or have in-licensed with respect to our current and future research and development programs and product candidates fail to issue, if their validity, breadth or strength of protection is threatened, or if they fail to provide meaningful exclusivity for our technology or any products and product candidates that we or our collaborators may develop, it could dissuade companies from collaborating with us to develop product candidates, encourage competitors to develop competing products or technologies and threaten our or our collaborators’ ability to commercialize future product candidates. Any such outcome could have a material adverse effect on our business.</w:t>
      </w:r>
    </w:p>
    <w:p>
      <w:pPr>
        <w:spacing w:after="0" w:line="2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ability to compete effectively in our markets may decline if we do not adequately protect our proprietary rights, and our proprietary rights do not necessarily address all potential threats to our competitive advantages.</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rely on patent protection as well as trademark, trade secret and other intellectual property rights protection and contractual restrictions to protect ONA-XR, CLDN6xCD3 bsAb and other product candidates. Our commercial success depends upon obtaining and maintaining proprietary rights to our intellectual property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estate, including rights relating to ONA-XR, CLDN6xCD3 bsAb and other product candidates, as well as successfully defending these rights against third-party challenges and successfully enforcing these rights to prevent third-party infringement. We will only be able to protect ONA-XR, CLDN6xCD3 bsAb and other product candidates from unauthorized use by third parties to the extent that valid and enforceable patents or effectively protected trade secrets cover them.</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ability to obtain and maintain patent protection for ONA-XR, CLDN6xCD3 bsAb and other product candidates is uncertain due to a number of factors, including the following factors: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have been the first to invent the technology covered by our pending patent applications or issued patents;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the first to file patent applications covering product candidates, including their compositions or methods of use, as patent applications in the United States and most other countries are confidential for a period of time after filing;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compositions and methods may not be patentable;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disclosures in patent applications may not be sufficient to meet the statutory requirements for patentability;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or all of our pending patent applications may not result in issued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may independently develop identical, similar or alternative technologies, products or compositions, or methods of use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others may design around our patent claims to produce competitive technologies or products that fall outside of the scope of our patents;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fail to identify patentable aspects of our research and development output before it is too late to obtain patent protection;</w:t>
      </w:r>
    </w:p>
    <w:p>
      <w:pPr>
        <w:spacing w:after="0" w:line="142" w:lineRule="exact"/>
        <w:rPr>
          <w:rFonts w:ascii="Arial" w:cs="Arial" w:eastAsia="Arial" w:hAnsi="Arial"/>
          <w:sz w:val="17"/>
          <w:szCs w:val="17"/>
          <w:color w:val="auto"/>
        </w:rPr>
      </w:pPr>
    </w:p>
    <w:p>
      <w:pPr>
        <w:ind w:left="1080" w:right="9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seek or obtain patent protection in countries and jurisdictions that may eventually provide us a significant business opportunity;</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decide not to maintain or pursue patents and patent applications that, at some point in time, may cover our products, potential products, or product candidates;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issued to us may not provide a basis for commercially viable products, may not provide any competitive advantages or may be successfully challenged by third parties;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identify prior art or other bases upon which to challenge and ultimately invalidate our patents or otherwise render them unenforceable;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representatives or their agents may fail to apply for patents in a timely fashion; and</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despite our efforts to enter into agreements with employees, consultants, collaborators, and advisors to confirm ownership and chain of title in patents and patent applications, an inventorship or ownership dispute could arise that may permit one or more third parties to practice our technologies or enforce our patent rights, including possible efforts to enforce patent rights against us.</w:t>
      </w:r>
    </w:p>
    <w:p>
      <w:pPr>
        <w:spacing w:after="0" w:line="16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Even if we have or obtain patents covering ONA-XR, CLDN6xCD3 bsAb or any other product candidates or compositions, others may have filed, and in the future may file, patent applications covering compositions, products or methods that are similar or identical to ours, which could materially affect our ability to successfully develop any product candidates or to successfully commercialize any approved products alone or with collaborators. In addition, because patent applications can take many years to issue, there may be currently</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pending applications unknown to us that may later result in issued patents that may cover ONA-XR, CLDN6xCD3 bsAb or any other product candidates or compositions. These patent applications may have priority over patent applications filed by us.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the United States, the natural expiration of a patent is generally 20 years after it is filed. Various extensions may be available; however the life of a patent, and the protection it affords, is limited.</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Without patent protection for current or future product candidates, we may be open to competition from generic or biosimilar versions of such potential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those we or our collaborators may develop.</w:t>
      </w:r>
    </w:p>
    <w:p>
      <w:pPr>
        <w:spacing w:after="0" w:line="15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we also try to protect our trade secrets, know-how and other proprietary information through non-disclosure and confidentiality provisions in our agreements with parties who have access to them, such as our employees, consultants and research partners. Such agreements may not be enforceable or may not provide meaningful protection for our trade secrets, know-how and/or other proprietary information in the event of unauthorized uses or disclosure or other breaches of the provisions, and we may not be able to prevent such unauthorized uses or disclosure. Moreover, if a party having an agreement with us has an overlapping or conflicting obligation to a third party, our rights in and to certain intellectual property could be undermined. Monitoring unauthorized and inadvertent disclosure and uses is difficult, and we do not know whether the steps we have taken to prevent such disclosure and uses are, or will be, adequate. In addition, monitoring unauthorized disclosure and uses of our trade secrets is difficult, and we do not know whether the steps we have taken to prevent such disclosure and uses are, or will be, adequate. If we were to enforce a claim that a third-party had illegally obtained and was using our trade secrets, it would be expensive and time-consuming, and the outcome would be unpredictable, and any remedy may be inadequate. In addition, courts outside the United States may be less willing to protect trade secrets.</w:t>
      </w:r>
    </w:p>
    <w:p>
      <w:pPr>
        <w:spacing w:after="0" w:line="16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9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Because we may rely on third parties to manufacture our potential product candidates, and because we collaborate with various organizations and academic institutions on the advancement of our current and potential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manufacturers,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are used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inappropriately to create new inventions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92" w:lineRule="exact"/>
        <w:rPr>
          <w:sz w:val="20"/>
          <w:szCs w:val="20"/>
          <w:color w:val="auto"/>
        </w:rPr>
      </w:pPr>
    </w:p>
    <w:p>
      <w:pPr>
        <w:ind w:left="120" w:right="5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Additionally, we may need to outsource and rely on third parties for many aspects of the development, sales and marketing of any products covered under our current and future license agreements. Delay or failure by these third parties could adversely affect the continuation of our license agreements with our licensors.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9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some cases, patent prosecution of our licensed technology is controlled solely by the licensor. If such licensor fails to obtain and maintain patent or other protection for the proprietary intellectual property we license from such licensor, we could lose our rights to such intellectual property or the exclusivity of such rights, and our competitors could market competing products using such intellectual property. In that event, we may be required to expend significant time and resources to develop or license replacement technology.</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we are unable to do so, we or our collaborators may be unable to develop or commercialize the affected product candidates, which could harm our business significantly. In other cases, we control the prosecution of patents resulting from licensed technology. In the event we breach any of our obligations related to such prosecution, we may incur significant liability to our licensing partners.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licensing agreement, including:</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intellectual property of the licensor that is not subject to the licensing agreement;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our product candidates, thereby potentially extending the term of marketing exclusivity for such product candidates, our business may be harmed.</w:t>
      </w:r>
    </w:p>
    <w:p>
      <w:pPr>
        <w:spacing w:after="0" w:line="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European Union, our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7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Our commercial success depends in part upon our ability to develop, manufacture, market and sell product candidates without alleged or actual infringement, misappropriation or other violation of the patents and proprietary rights of third parties. Litigation relating to infringement or misappropriation of patent and other intellectual property rights in the pharmaceutical, biotechnology is common, including patent infringement lawsuits, and such interference, derivation, reexamination, post-grant review, inter parties review and opposition proceedings before the USPTO and corresponding international patent offices.</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Numerous United States, EU and other internationally issued patents and pending patent applications, which are owned by third parties, exist in the fields in which we and our collaborators are developing product candidates, and as the biotechnology and pharmaceutical industries expand and more patents are issued, the risk increases that our product candidates may be subject to claims of infringement of the intellectual property rights of third parties.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a result of any patent infringement claims, or in order to avoid any potential infringement claims, we may choose to seek, or be required to seek, a license from a third party, which may require payment of substantial royalties or fees, or require us to grant a cross-license under our intellectual property rights.</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or our collaborators could be prevented from commercializing one or more product candidates, or forced to modify such product candidates, or to cease some aspect of our business operations, which could harm our business significantly.</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or our collaborators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 if a patent infringement suit is brought against us, our collaborators or our third-party service providers, our development, manufacturing or sales activities relating to the product or product candidate that is the subject of the suit may be delayed or terminated. In addition, defending such claims has in the past and may in the future cause us to incur substantial expenses and, if successful, could cause us to pay substantial damages if we are found to be infringing a third party’s patent rights.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These damages potentially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or our collaborators’ ability to further develop or commercialize the applicable product candidate unless we obtain a license under the applicable patents, or until such patents expire or are finally determined to be invalid or unenforceable.</w:t>
      </w:r>
    </w:p>
    <w:p>
      <w:pPr>
        <w:spacing w:after="0" w:line="18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technologies, compositions, formulations, or methods of treatment, prevention or use, the holders of any such patents may be able to prohibit our use of those technologies, compositions, formulations, methods of treatment, prevention or use or other technologies, effectively blocking our or our collaborators’ ability to develop and commercialize the applicable product candidate until such patent expires or is finally determined to be invalid or unenforceable or unless we or our collaborators obtain a license.</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Competitors may infringe our patents. In the event of infringement or unauthorized use, we may file one or more infringement lawsuits, which can be expensive and time-consuming. An adverse result in any such litigation proceedings could put one or more of our patents at risk of being invalidated, being found to be unenforceable, and/or being interpreted narrowly and could put our patent applications at risk of not issuing and/or could impact the validity or enforceability positions of our other patents.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w:t>
      </w:r>
    </w:p>
    <w:p>
      <w:pPr>
        <w:spacing w:after="0" w:line="187"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the Market for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active trading market for our common stock currently exists, and an active trading market may not develop.</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Prior to this offering, there has not been an active trading market for our common stock. If an active trading market for our common stock does not develop following this offering, you may not be able to sell your shares quickly or at the market price. Our ability to raise capital to continue to fund operations by selling shares of our common stock and our ability to acquire other companies or technologies by using shares of our common stock as consideration may also be impaired. The initial public offering price of our common stock will be determined by negotiations between us and the underwriter and may not be indicative of the market prices of our common stock that will prevail in the trading market.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Our common stock may be volatile or may decline regardless of our operating performance, and you may not be able to resell your shares at or above the initial public offering price.</w:t>
      </w:r>
    </w:p>
    <w:p>
      <w:pPr>
        <w:spacing w:after="0" w:line="62"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After this offering, the market price for our common stock is likely to be volatile, in part because our shares have not been traded publicly. In addition, the market price of our common stock may fluctuate significantly in response to several factors, most of which we cannot control, including:</w:t>
      </w:r>
    </w:p>
    <w:p>
      <w:pPr>
        <w:spacing w:after="0" w:line="2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operating results compared to market expectations;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about us, the industries we participate in or individual scandals;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offerings or significant price reductions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price performance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market’s reaction to our reduced disclosure as a result of being an “emerging growth company” under the JOBS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earnings or other announcements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defaults on indebtedness, incurrence of additional indebtedness, or issuances of additional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economic, legal and regulatory factors unrelated to our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factors listed in this “Risk Factors” section.</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public offering price of our common stock has been determined by us based upon many factors and may not be indicative of prices that will prevail following the closing of this offering. Volatility in the market price of our common stock may prevent investors from being able to sell their shares at or above the initial public offering price. As a result, you may suffer a loss on your investment.</w:t>
      </w:r>
    </w:p>
    <w:p>
      <w:pPr>
        <w:spacing w:after="0" w:line="2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the shares and trading volume could decline.</w:t>
      </w:r>
    </w:p>
    <w:p>
      <w:pPr>
        <w:spacing w:after="0" w:line="6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If research analysts do not establish and maintain adequate research coverage or if one or more of the analysts who covers us downgrades our common stock or publishes inaccurate or unfavorable research about our business, the market price for our common stock would likely decline. If one or more of these analysts cease coverage of our company or fail to publish reports on us regularly, we could lose visibility in the financial markets, which, in turn, could cause the market price or trading volume for our common stock to decline.</w:t>
      </w:r>
    </w:p>
    <w:p>
      <w:pPr>
        <w:spacing w:after="0" w:line="2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As our initial public offering price is substantially higher than our net tangible book value per share, you will experience immediate and substantial dilution.</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you purchase shares in this offering, you will pay more for your shares of common stock than the amount paid by our existing stockholders for their shares on a per share basis. As a result, you will experience immediate and substantial dilution in net tangible book value per share in relation to the price that you paid for your shares. We expect the dilution as a result of the offering to be $10.55 per share to new investors purchasing our shares in this offering assuming an initial public offering price of $13.00 per share, which is the midpoint of the price range on the cover page of this prospectus. In addition, you will experience further dilution to the extent that our shares are issued upon the exercise of any warrants or exercise of stock options under any stock incentive plans. See “Dilution” for a more complete description of how the value of your investment in our shares will be diluted upon completion of this offering.</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have considerable discretion as to the use of the net proceeds from this offering and we may use these proceeds in ways with which you may not agree. We will require additional capital to fund our operations, and if we fail to obtain necessary financing, we may not be able to advance or complete the development and commercialization of our product candidates.</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intend to use the proceeds from this offering primarily to fund the development of ONA-XR, including our three ongoing Phase 2 trials, our ongoing Phase 1b/2 trial and two ongoing Phase 0 trials, as well as CLDN6xCD3 bsAb and the remaining amounts to fund the development of other research and development activities as well as for working capital and general corporate purposes. However, we have considerable discretion in the application of the proceeds. You will not have the opportunity, as part of your investment decision, to assess whether the proceeds are being used appropriately. You must rely on the judgment of our management regarding the application of the net proceeds of this offering. The net proceeds may be used for corporate or other purposes with which you do not agree or that do not improve our profitability or increase our share price. The net proceeds from this offering may also be placed in investments that do not produce income or that lose value.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funding requirements, both near and long-term, will depend on many factors, including, but not limited to:</w:t>
      </w:r>
    </w:p>
    <w:p>
      <w:pPr>
        <w:spacing w:after="0" w:line="131" w:lineRule="exact"/>
        <w:rPr>
          <w:sz w:val="20"/>
          <w:szCs w:val="20"/>
          <w:color w:val="auto"/>
        </w:rPr>
      </w:pPr>
    </w:p>
    <w:p>
      <w:pPr>
        <w:ind w:left="1080" w:right="6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progress, timing, costs and results of preclinical studies and clinical trials, including patient enrollment in such trials, for ONA-XR, CLDN6xCD3 bsAb or any other future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development plans we establish for ONA-XR, CLDN6xCD3 bsAb and any other future product candidates;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obligation to make milestone, royalty and non-royalty sublicense receipt payments to third-party licensors, if any, under our licensing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number and characteristics of product candidates that we discover or in-license and develop;</w:t>
      </w:r>
    </w:p>
    <w:p>
      <w:pPr>
        <w:spacing w:after="0" w:line="130"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outcome, timing and cost of regulatory review by the FDA and comparable foreign regulatory authorities, including the potential for the FDA or comparable foreign regulatory authorities to require that we perform more studies than those that we currently expect;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filing, prosecuting, defending and enforcing any patent claims and maintaining and enforcing other intellectual property rights;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effects of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timing of the implementation of commercial-scale manufacturing activities; and</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timing of establishing sales, marketing and distribution capabilities for any product candidates for which we may receive regulatory approval.</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we are unable to expand our operations or otherwise capitalize on our business opportunities due to a lack of capital, our ability to become profitable will be compromised.</w:t>
      </w:r>
    </w:p>
    <w:p>
      <w:pPr>
        <w:spacing w:after="0" w:line="27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After this offering, our directors, executive officers and certain stockholders will continue to own a significant percentage of our common stock and, if they choose to act together, will be able to exert significant control over matters subject to stockholder approval.</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Upon the closing of this offering, our directors, executive officers, and stockholders affiliated with our directors and executive officers will</w:t>
      </w:r>
    </w:p>
    <w:p>
      <w:pPr>
        <w:spacing w:after="0" w:line="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beneficially own approximately % of the voting power of our outstanding common stock, or approximately % if the underwriter exercises its over-allotment option from us in full. Therefore, they will have the ability to substantially influence us through their ownership position. For example, these holders may be able to control elections of directors, amendments of our organizational documents, or approval of any merger, sale of assets, or other major corporate transaction. The interests of these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holders may not always coincide with our corporate interests or the interests of other stockholders, and they may act in a manner with which you may not agree or that may not be in the best interests of our other stockholders. So long as they continue to own a significant amount of our equity, these holders will be able to strongly influence or effectively control our decisions.</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do not expect to pay dividends in the foreseeable future after this offering, and you must rely on price appreciation of your shares for return on your investment.</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paid no cash dividends on any class of our stock to date and we do not anticipate paying cash dividends in the near term. For the foreseeable future, we intend to retain any earnings to finance the development and expansion of our business, and we do not anticipate paying any cash dividends on our stock. Accordingly, investors must be prepared to rely on sales of their shares after price appreciation to earn an investment return, which may never occur. Investors seeking cash dividends should not purchase our shares. Any determination to pay dividends in the future will be made at the discretion of our board of directors and will depend on our results of operations, financial condition, contractual restrictions, restrictions imposed by applicable law and other factors our board deems relevant.</w:t>
      </w:r>
    </w:p>
    <w:p>
      <w:pPr>
        <w:spacing w:after="0" w:line="30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may issue additional debt and equity securities, which are senior to our common stock as to distributions and in liquidation, which could materially adversely affect the market price of our common stock.</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future, we may attempt to increase our capital resources by entering into additional debt or debt-like financing that is secured by all or up to all of our assets, or issuing debt or equity securities, which could include issuances of commercial paper, medium-term notes, senior notes, subordinated notes or shares. In the event of our liquidation, our lenders and holders of our debt securities would receive a distribution of our available assets before distributions to our stockholders. In addition, any additional preferred stock, if issued by our company, may have a preference with respect to distributions and upon liquidation, which could further limit our ability to make distributions to our stockholders. Because our decision to incur debt and issue securities in our future offerings will depend on market conditions and other factors beyond our control, we cannot predict or estimate the amount, timing or nature of our future offerings and debt financing.</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Further, market conditions could require us to accept less favorable terms for the issuance of our securities in the future. Thus, you will bear the risk of our future offerings reducing the value of your common stock and diluting your interest in our company.</w:t>
      </w:r>
    </w:p>
    <w:p>
      <w:pPr>
        <w:spacing w:after="0" w:line="278" w:lineRule="exact"/>
        <w:rPr>
          <w:sz w:val="20"/>
          <w:szCs w:val="20"/>
          <w:color w:val="auto"/>
        </w:rPr>
      </w:pPr>
    </w:p>
    <w:p>
      <w:pPr>
        <w:ind w:left="120" w:right="320"/>
        <w:spacing w:after="0" w:line="375" w:lineRule="auto"/>
        <w:rPr>
          <w:sz w:val="20"/>
          <w:szCs w:val="20"/>
          <w:color w:val="auto"/>
        </w:rPr>
      </w:pPr>
      <w:r>
        <w:rPr>
          <w:rFonts w:ascii="Arial" w:cs="Arial" w:eastAsia="Arial" w:hAnsi="Arial"/>
          <w:sz w:val="15"/>
          <w:szCs w:val="15"/>
          <w:b w:val="1"/>
          <w:bCs w:val="1"/>
          <w:i w:val="1"/>
          <w:iCs w:val="1"/>
          <w:color w:val="auto"/>
        </w:rPr>
        <w:t>We will be subject to ongoing public reporting requirements that are less rigorous than Exchange Act rules for companies that are not emerging growth companies and our stockholders could receive less information than they might expect to receive from more mature public companies.</w:t>
      </w:r>
    </w:p>
    <w:p>
      <w:pPr>
        <w:spacing w:after="0" w:line="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the completion of this offering, we will be required to publicly report on an ongoing basis as an “emerging growth company” (as defined in the JOBS Act)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92"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being permitted to comply with reduced disclosure obligations regarding executive compensation in our periodic reports and proxy statements;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being exempt from the requirement to hold a non-binding advisory vote on executive compensation and stockholder approval of any golden parachute payments not previously approved.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expect to take advantage of these reporting exemptions until we are no longer an emerging growth company. We would remain an emerging growth company for up to five years from the date of the first sale of equity securities pursuant to an effective registration statement, although if the market value of our common stock that is held by non-affiliates exceeds $700 million as of any June 30 before that time, we would cease to be an emerging growth company as of the following December 31.</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Because we will be subject to ongoing public reporting requirements that are less rigorous than Exchange Act rules for companies that are not emerging growth companies, our stockholders could receive less information than they might expect to receive from more mature public companies.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95"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We have material weaknesses in our internal control over financial reporting and will need to hire additional personnel and design and implement proper and effective internal control over financial reporting. We may identify additional material weaknesses in the future that may cause us to fail to meet our reporting obligations or result in material misstatements in our financial statements. If we fail to remediate our material weaknesses, we may not be able to report our financial results accurately or to prevent fraud.</w:t>
      </w:r>
    </w:p>
    <w:p>
      <w:pPr>
        <w:spacing w:after="0" w:line="6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US GAAP.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92"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During the preparation of our consolidated financial statements for the years ended December 31, 2019 and 2020, we and our independent registered public accounting identified a material weakness related to the lack of an appropriate review of the internally prepared financial statements which resulted in the Company’s failure to timely detect and correct certain misstatements within the consolidated financial statements. Such misstatements have been corrected in the accompanying consolidated financial statements for the years ended December 31, 2019 and 2020. We also identified a material weakness as it relates to a lack of adequate segregation of accounting functions.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Management will aim to remediate the material weaknesses described above through hiring additional qualified accounting and financial reporting personnel, and designing and implementing financial reporting systems, processes, policies and internal control. However, we will not be able to fully remediate these material weaknesses until these steps have been completed and are functioning effectively, which may expose us to errors, losses or fraud until remediated. In addition, we cannot at this time provide an estimate of the costs we expect to incur or the expected timeline in connection with implementing our remediation plan. These remediation measures may be time-consuming and costly, and might place significant demands on our financial and operational resources. If we are unable to successfully remediate these material weaknesses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common stock to decline.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consolidated financial statements for the year ended December 31, 2020 included in this prospectus.</w:t>
      </w:r>
    </w:p>
    <w:p>
      <w:pPr>
        <w:spacing w:after="0" w:line="16"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report from our independent registered public accounting firm for the year ended December 31, 2020 includes an explanatory paragraph stating that our recurring losses and negative cash flows from operations, working capital deficit and accumulated deficit raise substantial doubt about our ability to continue as a going concern. We will continue to seek to raise additional capital in the future through equity and/or debt financings, partnerships, collaborations, or other sources to carry out the Company’s planned development activities. If additional capital is not available when required, the Company may need to delay or curtail its operations until such funding is received. Future reports from our independent registered public accounting firm may also contain statements expressing substantial doubt about our ability to continue as a going concern.</w:t>
      </w:r>
    </w:p>
    <w:p>
      <w:pPr>
        <w:spacing w:after="0" w:line="27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and/or debt financings and collaborations, licensing agreements or other strategic arrangements.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To the extent that we raise additional capital through debt financing, it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To the extent we raise additional capital through arrangements with collaborators or otherwise, we may be required to relinquish some of our technologies, research programs, product development activities, product candidates and/or future revenue streams, license our technologies and/or product candidates on unfavorable terms or otherwise agree to terms unfavorable to us. Furthermore, any capital raising efforts may divert our management from their day-to-day activities, which may adversely affect our ability to advance research programs, product development activities or product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increased costs as a result of becoming a public company and in the administration of our organizational structure.</w:t>
      </w:r>
    </w:p>
    <w:p>
      <w:pPr>
        <w:spacing w:after="0" w:line="1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As a public company, we will incur significant legal, accounting, insurance, and other expenses that we have not incurred as a private company, including costs associated with public company reporting requirements. We also have incurred and will incur costs associated with the Sarbanes-Oxley Act and related rules implemented by SEC. Following the consummation of this offering, we will incur ongoing periodic expenses in connection with the administration of our organizational structure.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significant degree of certainty. In estimating these costs however, we took into account expenses related to insurance, legal, accounting, and compliance activities, as well as other expenses not currently incurred. These laws and regulations could also make it more difficult or costly for us to obtain certain types of insurance, including director and officer liability insurance, and we may be forced to accept reduced policy limits and coverage 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complex tax rules relating to our business, and any audits, investigations or tax proceedings could have a</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material adverse effect on our business, results of operations and financial condition. We are subject to income and non-income taxes in the United States and Ireland,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We could become subject to income and non-income taxes in non-US jurisdictions other than Ireland as well. In addition, many jurisdictions have detailed transfer pricing rules, which require that all transactions with related parties be priced using arm’s length pricing principles within the meaning of such rules.</w:t>
      </w:r>
    </w:p>
    <w:p>
      <w:pPr>
        <w:spacing w:after="0" w:line="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application of such transfer pricing rules, as well as of withholding taxes, goods and services taxes, sales taxes and other taxes is not always clear and we may be subject to tax audits relating to such rules or taxes. We believe that our tax positions are reasonable, and our tax provisions and reserves are adequate to cover any potential liability. We are also currently not subject to any tax audits.</w:t>
      </w:r>
    </w:p>
    <w:p>
      <w:pPr>
        <w:spacing w:after="0" w:line="19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However, various items cannot be accurately forecasted and future events may be treated as discrete to the period in which they occur. In addition, the Internal Revenue Service or other taxing authorities may disagree with our positions. In addition, existing tax laws, statutes, rules, regulations or ordinances could be interpreted, changed, modified or applied adversely to us (possibly with retroactive effect). If the Internal Revenue Service or any other tax authorities were successful in challenging our positions, or existing tax laws, statutes, rules, regulations or ordinances are so interpreted, changed or modified, we may be liable for additional tax and</w:t>
      </w:r>
    </w:p>
    <w:p>
      <w:pPr>
        <w:spacing w:after="0" w:line="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penalties and interest related thereto or other taxes, as applicable, in excess of any reserves established therefor, which may have a significant impact on our results and operations and future cash flow.</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or security breaches.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Despite the implementation of security measures, our computer systems, as well as those of third parties with which we have relationships, are vulnerable to damage from computer viruses, unauthorized access, natural and manmade disasters, terrorism, war and telecommunication and electrical failures. If we or a third party with which we have relationships were to experience a system failure, accident or security breach such an event could cause interruptions in our or their operations, or it could result in delays and/or material disruptions of our research and development programs. For example, the loss of trial data from completed, ongoing or planned trials could result in delays in our regulatory approval efforts and significantly increase our costs to recover or reproduce the data. To the extent that any disruption or security breach were to result in a loss of or damage to data or applications, or inappropriate disclosure of personal, confidential or proprietary information, we could incur liability and the development of our product candidates could be delayed.</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U.S. federal and various state and foreign governments have enacted or proposed requirements regarding the collection, distribution, use, security and storage of personally identifiable information and other data relating to individuals, and U.S. federal and state consumer protection laws are being applied to enforce regulations related to the online collection, use and dissemination of data. In the ordinary course of our business, we and third parties with which we have relationships collect and store sensitive data, including intellectual property, clinical trial data, proprietary business information, personal data and personally identifiable information of our clinical trial subjects and employees, consultants and contractors, in data centers and on networks. The secure processing, maintenance and transmission of this information is critical to our operations. Despite our and our collaborators’ security measures, our information technology and infrastructure may be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vulnerable to attacks by hackers or internal bad actors, breaches due to employee error, technical vulnerabilities, malfeasance or other disruptions, and any such breach could compromise our or their networks and the information stored there could be accessed, publicly disclosed, lost or stolen.</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such access, disclosure, notifications, follow-up actions related to such a security breach or other loss of information could result in legal claims or proceedings, liability under laws that protect the privacy of personal information and significant costs, including regulatory penalties, fines and legal expenses, and such an event could disrupt our operations, cause us to incur remediation costs, damage our reputation and cause a loss of confidence in us and our or such third parties’ ability to conduct clinical trials, which could adversely affect our reputation and delay our research and development programs.</w:t>
      </w:r>
    </w:p>
    <w:p>
      <w:pPr>
        <w:spacing w:after="0" w:line="29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or third parties with whom we have relationships may be adversely affected by natural or manmade disasters, and our business continuity and disaster recovery plans may not adequately protect us from a serious disaster.</w:t>
      </w:r>
    </w:p>
    <w:p>
      <w:pPr>
        <w:spacing w:after="0" w:line="6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Natural or manmade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our infrastructure or that otherwise disrupted operations, it may be difficult or, in certain cases, impossible for us to continue our business for a substantial period of time, and our research and development activities could be setback or delayed.</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and such an event could disrupt our operations, cause us to incur remediation costs, damage our reputation and cause a loss of confidence in us and our or third parties’ ability to conduct clinical trials, which could adversely affect our reputation and delay our research and development programs.</w:t>
      </w:r>
    </w:p>
    <w:p>
      <w:pPr>
        <w:spacing w:after="0" w:line="296"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may now and in the future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 and consultants.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common stock.</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companies following a decline in the market price of their securities. This risk is especially relevant for us because biotechnology companies have experienced significant share price volatility in recent years. If we face such litigation, it could result in substantial costs and a diversion of management’s attention and resources, which could harm our business.</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80"/>
          </w:cols>
          <w:pgMar w:left="320" w:top="459" w:right="6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contains forward-looking statements that are based on our management’s beliefs and assumptions and on information currently available to us. All statements other than statements of historical facts are forward-looking statements. The forward-looking statements are contained principally in, but not limited to, the sections entitled “Prospectus Summary,” “Risk Factors,” “Management’s Discussion and Analysis of Financial Condition and Results of Operations” and “Business.”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83"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30"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timing, progress and results of preclinical studies and clinical trials for ONA-XR, CLDN6 bsAb,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70"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 applications and final FDA approval of ONA-XR, CLDN6 bsAb and any other future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and advance ONA-XR, CLDN6 bsAb, and any other future product candidates, and successfully complete, clinical studies;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implementations thereof, and strategy;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sales strategy, and our ability to grow a sales team;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including clinical trials, manufacturing suppliers, collaborators, use of CROs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ONA-XR, CLDN6 bsAb, and other product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342" w:lineRule="auto"/>
        <w:rPr>
          <w:sz w:val="20"/>
          <w:szCs w:val="20"/>
          <w:color w:val="auto"/>
        </w:rPr>
      </w:pPr>
      <w:r>
        <w:rPr>
          <w:rFonts w:ascii="Arial" w:cs="Arial" w:eastAsia="Arial" w:hAnsi="Arial"/>
          <w:sz w:val="16"/>
          <w:szCs w:val="16"/>
          <w:color w:val="auto"/>
        </w:rPr>
        <w:t>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29" w:lineRule="exact"/>
        <w:rPr>
          <w:sz w:val="20"/>
          <w:szCs w:val="20"/>
          <w:color w:val="auto"/>
        </w:rPr>
      </w:pPr>
    </w:p>
    <w:p>
      <w:pPr>
        <w:ind w:left="1080" w:right="5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and reimbursement of ONA-XR, CLDN6 bsAb and other product candidates we may develop,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ONA-XR, CLDN6 bsAb and other product candidates we may develop;</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 and the proceeds from this offer;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heading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also contains certain data and information, which we obtained from various government and private publications. Although we believe that the publications and reports are reliable, we have not independently verified the data. Statistical data in these publications includes projections that are based on a number of assumptions. If any one or more of the assumptions underlying the market data is later found to be incorrect, actual results may differ from the projections based on these assumptions.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 statements are made in this prospectus. Although we will become a public company after this offering and have ongoing disclosure obligations under United States federal securities laws, we do not intend to update or otherwise revise the forward-looking statements in this prospectus, whether as a result of new information, future events or otherwise.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estimate that the net proceeds from the sale of the 1,500,000 shares of common stock that we are selling in this offering will be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$15.9 million, or approximately $18.6 million if the underwriter exercises its over-allotment option in full, assuming an initial public offering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$13.00 per share, which is the midpoint of the price range on the cover page of this prospectus, and after deducting estimated underwriting discounts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commissions and estimated offering expenses payable by us.</w:t>
      </w:r>
    </w:p>
    <w:p>
      <w:pPr>
        <w:spacing w:after="0" w:line="21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$13.00 per share of our common stock, the midpoint of the estimated price range set forth on the cover page of this prospectus, would increase (decrease) the net proceeds to us from our initial public offering by</w:t>
      </w:r>
    </w:p>
    <w:p>
      <w:pPr>
        <w:ind w:left="120" w:right="60"/>
        <w:spacing w:after="0" w:line="260" w:lineRule="auto"/>
        <w:rPr>
          <w:sz w:val="20"/>
          <w:szCs w:val="20"/>
          <w:color w:val="auto"/>
        </w:rPr>
      </w:pPr>
      <w:r>
        <w:rPr>
          <w:rFonts w:ascii="Arial" w:cs="Arial" w:eastAsia="Arial" w:hAnsi="Arial"/>
          <w:sz w:val="18"/>
          <w:szCs w:val="18"/>
          <w:color w:val="auto"/>
        </w:rPr>
        <w:t>$1.4 million, assuming the number of shares offered by us, as set forth on the cover page of this prospectus, remains the same, after deducting estimated underwriting discounts and commissions and estimated offering expenses payable by us.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intend to use the net proceeds from this offering, as follows:</w:t>
      </w:r>
    </w:p>
    <w:p>
      <w:pPr>
        <w:spacing w:after="0" w:line="131" w:lineRule="exact"/>
        <w:rPr>
          <w:sz w:val="20"/>
          <w:szCs w:val="20"/>
          <w:color w:val="auto"/>
        </w:rPr>
      </w:pPr>
    </w:p>
    <w:p>
      <w:pPr>
        <w:ind w:left="1080" w:right="1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$7.4 million to fund the development of ONA-XR, including our three ongoing Phase 2 trials, our ongoing Phase 1b/2 trial and two ongoing Phase 0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$3.5 million to fund our development of CLDN6xCD3 bsAb;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remaining amounts to fund our development of other research and development activities, as well as for working capital and other general corporate purposes.</w:t>
      </w:r>
    </w:p>
    <w:p>
      <w:pPr>
        <w:spacing w:after="0" w:line="17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Based on our current operating plan, we believe that the net proceeds from this offering, together with our existing cash and cash equivalents, will be sufficient to fund our operations for at least the next 12 months. In particular, we expect such funds to enable us to complete our three ongoing Phase 2 trials, our ongoing Phase 1b/2 trial and two ongoing Phase 0 trials with ONA-XR, to advance CLDN6xCD3 bsAb to preclinical IND-enablement studies, and to continue to advance our discovery research pipeline. The net proceeds from this offering, together with our existing cash and cash equivalents, will not be 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 approval of, and commercialize, our product candidates due to, among other factors, our lack of experience with initiating, conducting and completing clinical trials, and uncertainty regarding the scope and design of clinical trials required to obtain regulatory approval for our product candidates, the rate of subject enrollment in our clinical trials, filing requirements with various regulatory agencies, clinical trial results, and the actual costs of manufacturing, supplying and commercializing our product candidates.</w:t>
      </w:r>
    </w:p>
    <w:p>
      <w:pPr>
        <w:spacing w:after="0" w:line="16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We believe opportunities may exist from time to time to expand our current business through licenses with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192"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Our management will have broad discretion over the use of the net proceeds from this offering. The amounts and timing of our expenditures will depend upon numerous factors including the results of our research and development efforts, the timing, cost and success of preclinical studies and any ongoing clinical trials or clinical trials we may commence in the future, the timing of regulatory submissions, our ability to obtain additional financing, the amount of cash obtained through our existing collaborations and future collaborations, if any, and any unforeseen cash needs.</w:t>
      </w:r>
    </w:p>
    <w:p>
      <w:pPr>
        <w:spacing w:after="0" w:line="15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Pending use of the proceeds from this offering as described above, we intend to invest the net proceeds of this offering in short-term, interest-bearing, investment-grade securities or certificates of deposit.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therefore, we do not anticipate paying any cash dividends in the foreseeable future. Any future determination to declare dividends will be made at the discretion of our board of directors and will depend on our financial condition, operating results, capital requirements, contractual restrictions, general business conditions and other factors that our board of directors may deem relevant.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total capitalization as of March 31, 2021:</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80" w:hanging="424"/>
        <w:spacing w:after="0" w:line="275"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a pro forma basis to give effect to (i) the reorganization, based on the assumed initial public offering price of $13.00 per share (the midpoint of the price range set forth on the cover page of this prospectus) and (ii) the automatic conversion of all our convertible preferred stock outstanding into an aggregate of 4,836,868 shares of our common stock and the conversion of 368,839 warrants into 187,176 shares of our common stock immediately prior to the completion of this offering based on an assumed initial public offering price of $13.00 per share (the midpoint of the price range set forth on the cover page of this prospectus); and</w:t>
      </w:r>
    </w:p>
    <w:p>
      <w:pPr>
        <w:spacing w:after="0" w:line="81"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as adjusted basis giving further effect to the sale and issuance by us of 1,500,000 shares of common stock in this offering at the initial public offering price of $13.00 per share (the midpoint of the price range set forth on the cover page of this prospectus) after deducting underwriting discounts and commissions and estimated offering expenses payable by us.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reorganization and the closing of this offering will depend on the actual initial public offering price and other terms of this offering determined at pricing. You should read this table together with our consolidated financial statements, the related notes included elsewhere in this prospectus and the information under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Pro</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6"/>
              </w:rPr>
              <w:t>as</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forma</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1,660,312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3,677,467</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$ 19,614,967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Convertible preferred units, redeemable common units and members’ deficit::</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A preferred units, 1,508,633 issued and outstanding at March 31, 2021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9,992,208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Series Seed preferred units, 2,624,324 issued and outstanding at March 31, 2021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6,341,288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Redeemable common member units, 16,666 issued and outstanding at March 31, 2021</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Common member units, 336,007 issued and outstanding at March 31, 2021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5,377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2,211,514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23,423,653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39,359,653</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(19,689,619)</w:t>
            </w: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(22,527,451)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(22,527,451)</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convertible preferred units, redeemable common units and members’ (deficit) equity</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(1,115,576)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901,579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16,839,079</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(1,115,576</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901,579</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$ 16,839,079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$13.00 per share, the midpoint of the price range listed on the cover page of this prospectus, would increase (decrease) the pro forma as adjusted amount of each of cash and cash equivalents, total assets and total stockholders’ equity by approximately $1.4 million, assuming that the number of shares offered by us, as set forth on the cover page of this prospectus, remains the same and after deducting underwriting discounts and commissions and estimated offering expenses payable by us. Similarly, each increase (decrease) of 1.0 million shares in the number of shares offered by us at the assumed initial public offering price per share, the midpoint of the price range listed on the cover page of this prospectus, would increase (decrease) the pro forma as adjusted amount of each of cash and cash equivalents, working capital, total assets and total stockholders’ equity by approximately $12.0 million.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number of shares outstanding is based on 352,673 shares outstanding as of March 31, 2021 and except as noted above, which gives effect to the pro forma transactions described above, and excludes the following currently outstanding securities:</w:t>
      </w:r>
    </w:p>
    <w:p>
      <w:pPr>
        <w:spacing w:after="0" w:line="76" w:lineRule="exact"/>
        <w:rPr>
          <w:sz w:val="20"/>
          <w:szCs w:val="20"/>
          <w:color w:val="auto"/>
        </w:rPr>
      </w:pPr>
    </w:p>
    <w:p>
      <w:pPr>
        <w:ind w:left="1080" w:right="1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27,330 shares of common stock issuable upon the exercise of options outstanding as of March 31, 2021, at a weighted-average exercise price of $16.86 per share;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139,336 shares of common stock available for issuance under our 2015 Option Plan as more fully described in “Executive Compensation</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2015 Option Plan.”</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320" w:top="459" w:right="6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purchase shares of our common stock in this offering, your interest will be diluted to the extent of the difference between the initial public offering price per share and our net tangible book value per share after this offering. Dilution results from the fact that the assumed initial public offering price per share is substantially in excess of the net tangible book value per share attributable to the existing unitholders for our presently outstanding common units.</w:t>
      </w:r>
    </w:p>
    <w:p>
      <w:pPr>
        <w:spacing w:after="0" w:line="18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Our historical net tangible book deficit was approximately $(18.1) million, or $(51.21) per common unit, as of March 31, 2021. Our net tangible book deficit represents the amount of our total consolidated tangible assets (which is calculated by subtracting prepaid offering expenses from our total consolidated assets), less the amount of our total consolidated liabilities less our convertible preferred units divided by the number of our common units.</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pro forma net tangible book value as of March 31, 2021 was $0.3 million, or $0.06 per share. Pro forma net tangible book value per share represents the amount of our total tangible assets less our total liabilities, divided by the number of shares of common stock outstanding as of March 31, 2021, after giving effect to (i) the reorganization, which reflects the automatic conversion of 352,673 common units and (ii) the automatic conversion all of our preferred convertible stock outstanding into an aggregate of 4,836,868 shares of common stock and the conversion of 368,839 warrants into 187,176 shares of common stock immediately prior to the completion of this offering based on an assumed initial public offering price of $13.00 per share, the midpoint of the estimated price range set forth on the cover page of this prospectus.</w:t>
      </w:r>
    </w:p>
    <w:p>
      <w:pPr>
        <w:spacing w:after="0" w:line="178"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After giving effect to our issuance and sale of 1,500,000 shares of common stock in this offering at an assumed initial public offering price of $13.00 per share, the midpoint of the estimated price range set forth on the cover page of this prospectus, after deducting estimated underwriting discounts and commissions and estimated offering expenses payable by us, our pro forma, as adjusted net tangible book value as of March 31, 2021 would have been $16.8 million or $2.45 per share. This represents an immediate increase in net tangible book value of $2.39 per share to our existing stockholders, and an immediate dilution in net tangible book value of $10.55 per share to new investors. The following table illustrates this per share dilution:</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Historical net tangible book deficit per share as of March 31, 2021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30"/>
              <w:spacing w:after="0"/>
              <w:rPr>
                <w:sz w:val="20"/>
                <w:szCs w:val="20"/>
                <w:color w:val="auto"/>
              </w:rPr>
            </w:pPr>
            <w:r>
              <w:rPr>
                <w:rFonts w:ascii="Arial" w:cs="Arial" w:eastAsia="Arial" w:hAnsi="Arial"/>
                <w:sz w:val="18"/>
                <w:szCs w:val="18"/>
                <w:color w:val="auto"/>
                <w:w w:val="87"/>
              </w:rPr>
              <w:t>(51.21)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as of March 31, 2021</w:t>
            </w:r>
          </w:p>
        </w:tc>
        <w:tc>
          <w:tcPr>
            <w:tcW w:w="8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after this offering</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pro forma information discussed above is illustrative only. Our net tangible book value following the completion of this offering is subject to adjustment based on the actual initial public offering price of our shares and other terms of this offering determined at pricing. A $1.00 increase (decrease) in the assumed initial public offering price of $13.00 per share of common stock, the midpoint of the estimated price range set forth on the cover page of this prospectus, would increase (decrease) our pro forma as adjusted net tangible book value per share after this offering by $0.20 per share and increase (decrease) the dilution to new investors by $0.80 per share, in each case assuming the number of shares of common stock offered by us, as set forth on the cover page of this prospectus, remains the same, and after deducting estimated underwriting discounts and commissions. An increase of 1.0 million in the number of shares of common stock offered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by us, as set forth on the cover page of this prospectus, would increase the pro forma as adjusted net tangible book value (deficit) per share after this offering by $1.21 per share and increase the dilution per share to new investors participating in this offering by $1.21 per share, assuming that the assumed initial public offering price remains the same and after deducting estimated underwriting discounts and commissions and estimated offering expenses payable by us. A decrease of 1.0 million in the number of shares of common stock offered by us, as set forth on the cover page of this prospectus, would decrease the pro forma as adjusted net tangible book value (deficit) per share after this offering by $1.63 per share and decrease the dilution per share to new investors participating in this offering by $1.63 per share, assuming that the assumed initial public offering price remains the same and after deducting estimated underwriting discounts and commissions and estimated offering expenses payable by us.</w:t>
      </w:r>
    </w:p>
    <w:p>
      <w:pPr>
        <w:spacing w:after="0" w:line="166"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If the underwriter exercises in full its option to purchase additional shares of common stock, the pro forma as adjusted net tangible book value (deficit) per share after giving effect to this offering would be $2.75 per share, representing an immediate increase to existing stockholders of $2.69 per share and immediate dilution to new investors participating in this offering of $10.25 per share assuming that the assumed initial public offering price remains the same, and after deducting estimated underwriting discounts and commissions and estimated offering expenses payable by us.</w:t>
      </w:r>
    </w:p>
    <w:p>
      <w:pPr>
        <w:spacing w:after="0" w:line="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table, as of March 31, 2021, on a pro forma as adjusted basis as described above, summarizes the differences between our existing stockholders and the investors purchasing shares in this offering with respect to the number of shares purchased from us, the total consideration paid and the average price per share paid, at the assumed initial public offering price of $13.00 per share, before deducting estimated underwriting discounts and commissions and estimated offering expenses payable by 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94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Shares Purchased</w:t>
            </w:r>
          </w:p>
        </w:tc>
        <w:tc>
          <w:tcPr>
            <w:tcW w:w="204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58"/>
        </w:trPr>
        <w:tc>
          <w:tcPr>
            <w:tcW w:w="6460" w:type="dxa"/>
            <w:vAlign w:val="bottom"/>
          </w:tcPr>
          <w:p>
            <w:pPr>
              <w:spacing w:after="0"/>
              <w:rPr>
                <w:sz w:val="13"/>
                <w:szCs w:val="13"/>
                <w:color w:val="auto"/>
              </w:rPr>
            </w:pPr>
          </w:p>
        </w:tc>
        <w:tc>
          <w:tcPr>
            <w:tcW w:w="1940" w:type="dxa"/>
            <w:vAlign w:val="bottom"/>
            <w:gridSpan w:val="4"/>
            <w:vMerge w:val="continue"/>
          </w:tcPr>
          <w:p>
            <w:pPr>
              <w:spacing w:after="0"/>
              <w:rPr>
                <w:sz w:val="13"/>
                <w:szCs w:val="13"/>
                <w:color w:val="auto"/>
              </w:rPr>
            </w:pPr>
          </w:p>
        </w:tc>
        <w:tc>
          <w:tcPr>
            <w:tcW w:w="20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top w:val="single" w:sz="8" w:color="auto"/>
            </w:tcBorders>
            <w:vMerge w:val="restart"/>
          </w:tcPr>
          <w:p>
            <w:pPr>
              <w:spacing w:after="0"/>
              <w:rPr>
                <w:sz w:val="10"/>
                <w:szCs w:val="10"/>
                <w:color w:val="auto"/>
              </w:rPr>
            </w:pPr>
          </w:p>
        </w:tc>
        <w:tc>
          <w:tcPr>
            <w:tcW w:w="48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vMerge w:val="restart"/>
          </w:tcPr>
          <w:p>
            <w:pPr>
              <w:spacing w:after="0"/>
              <w:rPr>
                <w:sz w:val="10"/>
                <w:szCs w:val="10"/>
                <w:color w:val="auto"/>
              </w:rPr>
            </w:pPr>
          </w:p>
        </w:tc>
        <w:tc>
          <w:tcPr>
            <w:tcW w:w="48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Per</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5,376,716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$21,437,779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New investors</w:t>
            </w:r>
            <w:r>
              <w:rPr>
                <w:rFonts w:ascii="Arial" w:cs="Arial" w:eastAsia="Arial" w:hAnsi="Arial"/>
                <w:sz w:val="15"/>
                <w:szCs w:val="15"/>
                <w:color w:val="auto"/>
              </w:rPr>
              <w:t>(1)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1,500,000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19,500,000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13.00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6,876,716</w:t>
            </w: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4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40,937,779</w:t>
            </w: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investors will receive common stock in this offering.</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Each $1.00 increase (decrease) in the assumed initial public offering price of $13.00 per share (which is the midpoint of the price range set forth on the cover page of this prospectus), would increase (decrease) the total consideration paid by new investors participating in this offering and total consideration paid by all stockholders by $1.5 million, assuming that the number of shares offered by us, as set forth on the cover page of this prospectus, remains the same and after deducting the estimated underwriting discounts and commissions and estimated offering expenses payable by us.</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above table assumes no exercise of the underwriter’s option to purchase additional shares. If the underwriter exercises its option to purchase additional shares in full, our existing stockholders before this offering would own 76% and our new investors participating in this offering would own 24% of the total number of shares of our common stock outstanding immediately prior to the completion of this offering. Additionally, the consideration paid to us by existing stockholders before this offering would be $21.4 million, or approximately 49% of the total consideration, and the consideration paid to us by new investors participating in this offering would be $22.4 million, or approximately 51% of the total consideration.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foregoing discussion and tables are based on (other than the historical net tangible book value calculation) 5,376,717 shares outstanding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March 31, 2021 which gives effect to the pro forma transactions described above, and excludes the following currently outstanding securities:</w:t>
      </w:r>
    </w:p>
    <w:p>
      <w:pPr>
        <w:spacing w:after="0" w:line="128" w:lineRule="exact"/>
        <w:rPr>
          <w:sz w:val="20"/>
          <w:szCs w:val="20"/>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27,330 shares of common stock issuable upon the exercise of options outstanding as of March 31, 2021, at a weighted-average exercise price of $16.86 per share;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139,336 shares of common stock available for issuance under our 2015 Option Plan, as more fully described in “Executive Compensation</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2015 Option Plan.”</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the extent that options or warrants are exercised, new options are issued under our stock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Certain of our existing stockholders, including certain of our directors and officers and entities affiliated with certain of our directors, have indicated an interest in purchasing an aggregate of up to approximately $1.0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foregoing discussion does not give effect to any potential purchases by these stockholders in this offering.</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OPERATIONS</w:t>
      </w:r>
    </w:p>
    <w:p>
      <w:pPr>
        <w:spacing w:after="0" w:line="21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sections titled “Selected Financial Data” and “Prospectus Summary – Summary Financial Information” in this prospectus and our financial statements and the related notes and other financial information included elsewhere in this prospectus. Some of the information contained in this discussion and analysis, including information with respect to our plans and strategy for our business, and the potential impacts of the ongoing COVID-19 pandemic, contains forward-looking statements that involve risks and uncertainties. You should review the section titled “Risk Factors” in this prospectus for a discussion of important factors that could cause actual results to differ materially from the results described below. Please also see the section entitled “Special Note Regarding Forward-Looking Statements.” On April 23, 2021, we completed a reverse triangular merger, resulting in Context Therapeutics Inc. becoming the sole holder of 100% of the membership interests in Context Therapeutics LLC , and which resulted in all of the common units, preferred units and all options, warrants or other rights to purchase common or preferred units of Context Therapeutics LLC converting into common stock, preferred stock and all options, warrants or other rights to purchase common or preferred stock of Context Therapeutics Inc. Prior to the reorganization we operated as Context Therapeutics LLC.</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are a clinical-stage biopharmaceutical company dedicated to improving the lives of women living with hormone-dependent cancer. Our development team is advancing a pipeline of innovative therapies with a primary focus on treating female, hormone-dependent cancer, including breast, ovarian, and endometrial (uterine) cancer. Our first program and lead product candidate, ONA-XR builds upon a foundation of successful drug development by our management team and advisors in the field of hormone-dependent cancers. ONA-XR is a potent and selective antagonist of the progesterone receptor which has been linked to resistance to multiple classes of cancer therapeutics, including anti-estrogen therapies, across female hormone-dependent cancers.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were incorporated in April 2015 under the laws of the State of Delaware. Since inception, we have devoted substantially all of our resources to developing product and technology rights, conducting research and development, organizing and staffing our company, business planning and raising capital. We operate as one business segment and have incurred recurring losses, the majority of which are attributable to research and development activities, and negative cash flows from operations. We have funded our operations primarily through the sale of convertible debt and convertible preferred units. Our net loss was $6.4 million for the year ended December 31, 2019 and we had net income of $6.6 million for the year ended December 31, 2020. We also had a net loss of $0.9 million for the three months ended March 31, 2021. As of March 31, 2021, we had an accumulated deficit of $19.7 million. Currently,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regulatory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expenses on other research and development activities.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8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of our first program and lead product candidate ONA-XR;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nonclinical studies and clinical trials for any additional product candidates that we may pursue;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to scale up external manufacturing capacity with the aim of securing sufficient quantities to meet our capacity requirements for clinical trials and potential commercialization;</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approved product candidates and related additional commercial manufacturing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 maintain, expand, protect and enforce our intellectual property portfolio, including patents, trade secrets and know how;</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attract, hire and retain additional clinical, scientific, quality control, and manufacturing management and administrative personnel;</w:t>
      </w:r>
    </w:p>
    <w:p>
      <w:pPr>
        <w:spacing w:after="0" w:line="142" w:lineRule="exact"/>
        <w:rPr>
          <w:rFonts w:ascii="Arial" w:cs="Arial" w:eastAsia="Arial" w:hAnsi="Arial"/>
          <w:sz w:val="17"/>
          <w:szCs w:val="17"/>
          <w:color w:val="auto"/>
        </w:rPr>
      </w:pPr>
    </w:p>
    <w:p>
      <w:pPr>
        <w:ind w:left="1080" w:right="5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 clinical, operational, financial and management information systems and personnel, including personnel to support our product development and planned future commercialization efforts;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expand our operations in the United States and to other geographies;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additional legal, accounting, investor relations and other expenses associated with operating as a public company.</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and/or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COVID-19 Pandemic and its Impacts on Our Business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March 2020, the World Health Organization declared the outbreak of COVID-19 a global pandemic. The spread of COVID-19 during 2020 has caused worldwide economic instability and significant volatility in the financial markets. There is significant uncertainty as to the likely effects of this disease which may, among other things, materially impact the Company’s planned clinical trials. This pandemic or outbreak could result in difficulty securing clinical trial site locations, contract research organizations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consolidated financial statements.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not recognized any revenue from any sources, including from product sales, and we do not expect to generate any revenue from the sale of our products for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Research and development expenses have consisted primarily of costs incurred in connection with the discovery and development of our product candidates. We expense research and development costs as incurred, including:</w:t>
      </w:r>
    </w:p>
    <w:p>
      <w:pPr>
        <w:spacing w:after="0" w:line="76" w:lineRule="exact"/>
        <w:rPr>
          <w:sz w:val="20"/>
          <w:szCs w:val="20"/>
          <w:color w:val="auto"/>
        </w:rPr>
      </w:pPr>
    </w:p>
    <w:p>
      <w:pPr>
        <w:ind w:left="1080" w:right="5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unit-based compensation expense for our employees and consultants engaged in research and development functions;</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clinical studies;</w:t>
      </w:r>
    </w:p>
    <w:p>
      <w:pPr>
        <w:spacing w:after="0" w:line="29" w:lineRule="exact"/>
        <w:rPr>
          <w:rFonts w:ascii="Arial" w:cs="Arial" w:eastAsia="Arial" w:hAnsi="Arial"/>
          <w:sz w:val="16"/>
          <w:szCs w:val="16"/>
          <w:color w:val="auto"/>
        </w:rPr>
      </w:pPr>
    </w:p>
    <w:p>
      <w:pPr>
        <w:ind w:left="1080" w:right="28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expenses incurred under agreements with contract manufacturing organizations, or CMOs, including manufacturing scale-up expenses, milestone-based payments, and the cost of acquiring and manufacturing preclinical study and clinical trial materials;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and maintenance.</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unit-based compensation, conduct our clinical trials, including later-stage clinical trials, for current and future product candidates and prepare regulatory filings for our product candidates.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General and administrative expenses have consisted primarily of personnel expenses, including salaries, benefits and unit-based compensation expense, for employees and consultants in executive, finance and accounting, legal, operations support, information technology and business development functions. General and administrative expense also includes corporate facility costs not otherwise included in research and development expense, including rent, utilities and insurance, as well as legal fees related to intellectual property and corporate matters and fees for accounting and consulting services.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expect that our general and administrative expenses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 U.S. regulatory approval, we expect that we would incur significantly increased expenses associated with building a sales and marketing team.</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Interest expense has consisted primarily of interest expense related to our Junior Convertible Notes (“Junior Convertible Notes”) and Senior Convertible Notes (“Senior Convertible Notes,” and together with the Junior Convertible Notes, the “Convertible Promissory Notes”) outstanding at December 31, 2019 and 2020, respectively. We expect our interest expense to decrease as our Convertible Promissory Notes have been converted into Series A Units and Series Seed convertible preferred units (“Series Seed Units”). All of the outstanding Convertible Promissory Notes were converted as of February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Since our inception, we have not recorded any income tax benefits for the net operating losses (“NOL”) and research and development tax credits generated, as we believe, based upon the weight of available evidence, that it is more likely than not that all of our NOLs and tax credits will not be realized. As of December 31, 2019 and 2020, we had federal and state NOL carryforwards, each in the aggregate amount of $13.2 million and</w:t>
      </w:r>
    </w:p>
    <w:p>
      <w:pPr>
        <w:spacing w:after="0" w:line="2"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$16.1 million, respectively. As of December 31, 2019 and 2020, we had local NOL carryforwards of $20.4 million and $15.4 million, respectively. The NOL carryforwards begin expiring in 2037 for federal and state income tax purposes, however; all federal NOL carryforwards generated subsequent to January 1, 2018, are able to be carried forward indefinitely. Local NOL carryforwards expire after 3 years with the 2018 NOL set to expire in 2021. As of December 31, 2019 and 2020, the Company had federal research and development tax credit carryforwards of $0.2 million and $0.3 million, respectively, that will begin to expire in 2037, unless previously utilized. We have recorded a full valuation allowance against our net deferred tax assets at each balance sheet date.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years ended December 31, 2019 and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$ 2,411,937</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$ 1,641,501</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  (770,436)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2,965,207</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930,667</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(2,034,540)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(5,377,144)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(2,572,168)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2,804,976</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(1,100,390)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(661,224)</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439,166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 of convertible promissory notes</w:t>
            </w:r>
          </w:p>
        </w:tc>
        <w:tc>
          <w:tcPr>
            <w:tcW w:w="6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93,365</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9,877,857</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9,784,492</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(6,384,169)</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$ 6,644,465</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13,028,634</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40" w:type="dxa"/>
            <w:vAlign w:val="bottom"/>
            <w:gridSpan w:val="2"/>
          </w:tcPr>
          <w:p>
            <w:pPr>
              <w:jc w:val="right"/>
              <w:ind w:right="679"/>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Research and development expenses decreased by $0.8 million from $2.4 million for the year ended December 31, 2019 to $1.6 million for the year ended December 31, 2020. The decrease was mainly due to a decrease in salaries and related benefits of $0.7 million as we reduced our full-time employees and increased third-party contractors to focus solely on developing our product candidates. Additionally, professional fees decreased by $0.3 million. These amounts were partially offset by a $0.2 million increase in preclinical and clinical trial costs as we began our Phase 2 trial in late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General and administrative expenses decreased by $2.1 million from $3.0 million for the year ended December 31, 2019 to $0.9 million for the year ended December 31, 2020. The decrease was mainly due to a decrease in salaries and related benefits of $1.8 million, a decrease in professional fees of $0.2 million and a decrease in facility and other costs of $0.1 million as we reduced our full-time employees and increased third-party contractors to focus solely on developing our product candidates.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Interest expense decreased by $0.4 million from $1.1 million for the year ended December 31, 2019 to $0.7 million for the year ended December 31, 2020, primarily due to decreased interest recognized in 2020 related to the conversion of our Junior Convertible Notes to Series Seed Units that occurred in May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change in fair value of convertible promissory notes was $0.1 million for the year ended December 31, 2019 and $9.9 million for the year ended December 31, 2020. This change was attributable to a decrease in the fair value of our common units.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2020 and 2021: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481"/>
              <w:spacing w:after="0"/>
              <w:rPr>
                <w:sz w:val="20"/>
                <w:szCs w:val="20"/>
                <w:color w:val="auto"/>
              </w:rPr>
            </w:pPr>
            <w:r>
              <w:rPr>
                <w:rFonts w:ascii="Arial" w:cs="Arial" w:eastAsia="Arial" w:hAnsi="Arial"/>
                <w:sz w:val="14"/>
                <w:szCs w:val="14"/>
                <w:b w:val="1"/>
                <w:bCs w:val="1"/>
                <w:color w:val="auto"/>
                <w:w w:val="96"/>
              </w:rPr>
              <w:t>Three months ended March 31,</w:t>
            </w:r>
          </w:p>
        </w:tc>
        <w:tc>
          <w:tcPr>
            <w:tcW w:w="300" w:type="dxa"/>
            <w:vAlign w:val="bottom"/>
          </w:tcPr>
          <w:p>
            <w:pPr>
              <w:spacing w:after="0"/>
              <w:rPr>
                <w:sz w:val="14"/>
                <w:szCs w:val="14"/>
                <w:color w:val="auto"/>
              </w:rPr>
            </w:pPr>
          </w:p>
        </w:tc>
        <w:tc>
          <w:tcPr>
            <w:tcW w:w="1500" w:type="dxa"/>
            <w:vAlign w:val="bottom"/>
            <w:gridSpan w:val="2"/>
            <w:vMerge w:val="restart"/>
          </w:tcPr>
          <w:p>
            <w:pPr>
              <w:jc w:val="right"/>
              <w:ind w:right="701"/>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211,758</w:t>
            </w:r>
          </w:p>
        </w:tc>
        <w:tc>
          <w:tcPr>
            <w:tcW w:w="6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438,739</w:t>
            </w:r>
          </w:p>
        </w:tc>
        <w:tc>
          <w:tcPr>
            <w:tcW w:w="1800" w:type="dxa"/>
            <w:vAlign w:val="bottom"/>
            <w:gridSpan w:val="3"/>
          </w:tcPr>
          <w:p>
            <w:pPr>
              <w:jc w:val="right"/>
              <w:ind w:right="541"/>
              <w:spacing w:after="0"/>
              <w:rPr>
                <w:sz w:val="20"/>
                <w:szCs w:val="20"/>
                <w:color w:val="auto"/>
              </w:rPr>
            </w:pPr>
            <w:r>
              <w:rPr>
                <w:rFonts w:ascii="Arial" w:cs="Arial" w:eastAsia="Arial" w:hAnsi="Arial"/>
                <w:sz w:val="18"/>
                <w:szCs w:val="18"/>
                <w:color w:val="auto"/>
              </w:rPr>
              <w:t>$  226,981</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288,210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401,579</w:t>
            </w:r>
          </w:p>
        </w:tc>
        <w:tc>
          <w:tcPr>
            <w:tcW w:w="1800" w:type="dxa"/>
            <w:vAlign w:val="bottom"/>
            <w:gridSpan w:val="3"/>
            <w:shd w:val="clear" w:color="auto" w:fill="CCEEFF"/>
          </w:tcPr>
          <w:p>
            <w:pPr>
              <w:jc w:val="right"/>
              <w:ind w:right="541"/>
              <w:spacing w:after="0"/>
              <w:rPr>
                <w:sz w:val="20"/>
                <w:szCs w:val="20"/>
                <w:color w:val="auto"/>
              </w:rPr>
            </w:pPr>
            <w:r>
              <w:rPr>
                <w:rFonts w:ascii="Arial" w:cs="Arial" w:eastAsia="Arial" w:hAnsi="Arial"/>
                <w:sz w:val="18"/>
                <w:szCs w:val="18"/>
                <w:color w:val="auto"/>
              </w:rPr>
              <w:t>113,369</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72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(499,968)</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(840,318)</w:t>
            </w:r>
          </w:p>
        </w:tc>
        <w:tc>
          <w:tcPr>
            <w:tcW w:w="3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(340,350)</w:t>
            </w:r>
          </w:p>
        </w:tc>
        <w:tc>
          <w:tcPr>
            <w:tcW w:w="620" w:type="dxa"/>
            <w:vAlign w:val="bottom"/>
            <w:vMerge w:val="continue"/>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(316,076)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(62,985)</w:t>
            </w:r>
          </w:p>
        </w:tc>
        <w:tc>
          <w:tcPr>
            <w:tcW w:w="1800" w:type="dxa"/>
            <w:vAlign w:val="bottom"/>
            <w:gridSpan w:val="3"/>
            <w:shd w:val="clear" w:color="auto" w:fill="CCEEFF"/>
          </w:tcPr>
          <w:p>
            <w:pPr>
              <w:jc w:val="right"/>
              <w:ind w:right="541"/>
              <w:spacing w:after="0"/>
              <w:rPr>
                <w:sz w:val="20"/>
                <w:szCs w:val="20"/>
                <w:color w:val="auto"/>
              </w:rPr>
            </w:pPr>
            <w:r>
              <w:rPr>
                <w:rFonts w:ascii="Arial" w:cs="Arial" w:eastAsia="Arial" w:hAnsi="Arial"/>
                <w:sz w:val="18"/>
                <w:szCs w:val="18"/>
                <w:color w:val="auto"/>
              </w:rPr>
              <w:t>253,091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 in fair value of convertible promissory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1,642,524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9,317</w:t>
            </w:r>
          </w:p>
        </w:tc>
        <w:tc>
          <w:tcPr>
            <w:tcW w:w="1800" w:type="dxa"/>
            <w:vAlign w:val="bottom"/>
            <w:gridSpan w:val="3"/>
          </w:tcPr>
          <w:p>
            <w:pPr>
              <w:jc w:val="right"/>
              <w:ind w:right="481"/>
              <w:spacing w:after="0"/>
              <w:rPr>
                <w:sz w:val="20"/>
                <w:szCs w:val="20"/>
                <w:color w:val="auto"/>
              </w:rPr>
            </w:pPr>
            <w:r>
              <w:rPr>
                <w:rFonts w:ascii="Arial" w:cs="Arial" w:eastAsia="Arial" w:hAnsi="Arial"/>
                <w:sz w:val="18"/>
                <w:szCs w:val="18"/>
                <w:color w:val="auto"/>
              </w:rPr>
              <w:t>(1,633,207)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1,937</w:t>
            </w:r>
          </w:p>
        </w:tc>
        <w:tc>
          <w:tcPr>
            <w:tcW w:w="1800" w:type="dxa"/>
            <w:vAlign w:val="bottom"/>
            <w:gridSpan w:val="3"/>
            <w:shd w:val="clear" w:color="auto" w:fill="CCEEFF"/>
          </w:tcPr>
          <w:p>
            <w:pPr>
              <w:jc w:val="right"/>
              <w:ind w:right="541"/>
              <w:spacing w:after="0"/>
              <w:rPr>
                <w:sz w:val="20"/>
                <w:szCs w:val="20"/>
                <w:color w:val="auto"/>
              </w:rPr>
            </w:pPr>
            <w:r>
              <w:rPr>
                <w:rFonts w:ascii="Arial" w:cs="Arial" w:eastAsia="Arial" w:hAnsi="Arial"/>
                <w:sz w:val="18"/>
                <w:szCs w:val="18"/>
                <w:color w:val="auto"/>
              </w:rPr>
              <w:t>1,937</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826,480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(892,049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(1,718,529</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Research and development expenses increased by $0.2 million from $0.2 million for the three months ended March 31, 2020 to $0.4 million for the three months ended March 31, 2021. The increase was mainly due to an increase in contract manufacturing costs of $0.1 million as we continue to develop our first program and lead product candidate ONA-XR. Additionally, preclinical and clinical trial costs increased by $0.1 million as we continued our Phase 2 trial that began in late 2020.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General and administrative expenses increased by $0.1 million from $0.3 million for the three months ended March 31, 2020 to $0.4 million for the three months ended March 31, 2021. The increase was mainly due to an increase in professional fees of $0.2 million related to this offering. This was offset by a decrease of $0.1 million in salaries and related benefits as we reduced our full-time employees to focus solely on developing our product candidates.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Interest expense decreased by $0.2 million from $0.3 million for the three months ended March 31, 2020 to $0.1 million for the three months ended March 31, 2021 due to the conversion of all convertible promissory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change in fair value of convertible promissory notes was $1.6 million for the three months ended March 31, 2020 and $9,000 for the three months ended March 31, 2021. This change was attributable to a decrease in the fair value of our common units.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our inception, we have not recognized any revenue and have incurred operating losses and negative cash flows from our operations. We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not yet commercialized any product and we do not expect to generate revenue from sales of any products for several years, if at all. Since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inception through March 31, 2021, we have funded our operations through the sale of convertible debt and convertible preferred units, receiving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net proceeds of $19.7 million. As of March 31, 2021, we had $1.7 million in cash and cash equivalents and had an accumulated deficit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$19.7 million. In April 2021, we sold 285,351 Series A convertible preferred units (“Series A Units”) and issued 71,334 warrants for common member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units for gross proceeds of $2.0 million. We expect our existing cash and cash equivalents, together with the anticipated proceeds from this offering will</w:t>
      </w:r>
    </w:p>
    <w:p>
      <w:pPr>
        <w:spacing w:after="0" w:line="32"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be sufficient to fund our operations for [ ]. We have based these estimates on assumptions that may prove to be imprecise, and we could utilize our available capital resources sooner than we expect.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primary use of cash is to fund operating expenses, which consist of research and development expenditures and various general and administrative expenses.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89" w:lineRule="exact"/>
        <w:rPr>
          <w:sz w:val="20"/>
          <w:szCs w:val="20"/>
          <w:color w:val="auto"/>
        </w:rPr>
      </w:pPr>
    </w:p>
    <w:p>
      <w:pPr>
        <w:ind w:left="1080" w:right="7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timing, progress and results of discovery, preclinical development, laboratory testing and clinical trials for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regulatory approval and commercialization;</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regulatory approval; and</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regulatory approval.</w:t>
      </w:r>
    </w:p>
    <w:p>
      <w:pPr>
        <w:spacing w:after="0" w:line="170"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We will need additional funds to meet our operational needs and capital requirements for clinical trials, other research and development expenditures, and general and administrative expenses. We currently have no credit facility or committed sources of capital.</w:t>
      </w:r>
    </w:p>
    <w:p>
      <w:pPr>
        <w:spacing w:after="0" w:line="12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and/or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22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(2,836,098)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(1,034,620)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(187,351)</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(1,715,251)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provided by financing activities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1,957,405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1,149,054</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25,000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3,034,526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(878,693)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114,434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(162,351)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$ 1,319,275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the year ended December 31, 2019, we used $2.8 million of cash in operating activities. Cash used in operating activities reflected our net loss of $6.4 million and the noncash change in fair value of convertible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promissory notes of $0.1 million, offset by noncash interest expense of $1.1 million, noncash expense related to convertible promissory notes issued in lieu of severance payments of $1.2 million, unit-based compensation expense of $0.8 million, and a decrease in our operating assets and liabilities of $0.6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ended December 31, 2020, we used $1.0 million of cash in operating activities. Cash used in operating activities reflected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noncash change in fair value of convertible promissory notes of $9.9 million, offset by our net income of $6.6 million, noncash interest expense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$0.7 million, unit-based compensation of $0.2 million and a $1.3 million net decrease in our operating assets and liabilities. The primary use of cash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fund our operations related to the development of our product candidates.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cash flows from investing activities for either period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During the year ended December 31, 2019, financing activities provided $2.0 million from the issuance of convertible promissory notes and convertible bridge notes.</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During the year ended December 31, 2020, financing activities provided $1.1 million, consisting of $1.0 million of proceeds from the sale of Series A Units and warrants for common units, $25,000 from the issuance of convertible bridge notes, $50,000 from the sale of Series Seed Units and $0.1 million of proceeds from the Paycheck Protection Program loan.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the three months ended March 31, 2020, we used $0.2 million of cash in operating activities. Cash used in operating activities reflected the noncash change in fair value of convertible promissory notes of $1.6 million, offset by our net income of $0.8 million, noncash interest expense of $0.3 million, unit-based compensation of $0.1 million and a $0.2 million net decrease in our operating assets and liabilities. The primary use of cash was to fund our operations related to the development of our product candidates.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the three months ended March 31, 2021, we used $1.7 million of cash in operating activities. Cash used in operating activities reflected our net loss of $0.9 million and an increase in our operating assets and liabilities of $0.9 million. This was offset by non-cash interest expense and unit-based compensation of $0.1 million. The primary uses of cash were to fund our operations related to the development of our product candidates and the preparation of this registration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cash flows from investing activities for either period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three months ended March 31, 2020, financing activities provided $25,000 from the issuance of convertible bridge notes.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During the three months ended March 31, 2021, financing activities provided $3.0 million, consisting of net proceeds from the sale of Series A Units and warrants for common units.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U.S. generally accepted accounting principles (“GAAP”). The preparation of these consolidated financial statements requires us to make estimates and judgments that affect the reported amounts of assets, liabilities, and expenses and the disclosure of contingent assets and liabilities in our consolidated financial statements. On an ongoing basis, we evaluate our estimates and judgments, including those related to prepaid/accrued research and development expenses, unit-based compensation and fair value of convertible promissory notes.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3 to our audited consolidated financial statements included elsewhere in this prospectus, we believe the following accounting policies are the most critical to the judgments and estimates used in the preparation of our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U.S.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5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the preparation of our consolidated financial statements for the years ended December 31, 2019 and 2020, we and our independent registered public accounting firm identified a material weakness related to the lack of an appropriate review of the internally prepared financial statements which resulted in the Company’s failure to timely detect and correct certain misstatements within the consolidated financial statements. Such misstatements have been corrected in the accompanying consolidated financial statements for the years ended December 31, 2019 and 2020. We also identified a material weakness as it relates to a lack of adequate segregation of accounting functions.</w:t>
      </w:r>
    </w:p>
    <w:p>
      <w:pPr>
        <w:spacing w:after="0" w:line="68"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We are in the process of implementing measures designed to improve our internal control over financial reporting to remediate these material weaknesses. Our plan to remediate the material weaknesses in our internal control over financial reporting includes utilizing a portion of the working capital from our initial public offering to increase staffing within our accounting infrastructure sufficient to facilitate proper segregation of accounting functions and to enable appropriate review of our internally prepared consolidated financial statements. In addition, we plan to retain outside consultants, expert in, and specializing in technical accounting and SEC reporting for public company registrants.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development of our product candidates. We expense research and development costs as incurred.</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accrue an expense for preclinical studies and clinical trial activities performed by our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make estimates of our prepaid/accrued expenses as of each balance sheet date in our consolidated financial statements based upon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measure compensation expense for all unit-based awards based on the estimated fair value of the unit-based awards on the grant date. We use the Black-Scholes option pricing model to value our unit-based awards. We recognize compensation expense on a straight-line basis over the requisite service period, which is generally the vesting period of the award. We have not issued awards for which vesting is subject to market or performance conditions.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Black-Scholes option-pricing model requires the use of subjective assumptions that include the expected stock price volatility and the fair value of the underlying common stock on the date of grant. See Note 7 to our audited consolidated financial statements included elsewhere in this prospectus for information concerning certain of the specific assumptions we used in applying the Black-Scholes option pricing model to determine the estimated fair value of our awards granted.</w:t>
      </w:r>
    </w:p>
    <w:p>
      <w:pPr>
        <w:spacing w:after="0" w:line="18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following table summarizes by grant date the number of common member units subject to options granted from January 1, 2019 to May 1, 2021, as well as the associated per share exercise price and the estimated fair value per unit of our common member units as of the grant date:</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660" w:type="dxa"/>
            <w:vAlign w:val="bottom"/>
            <w:gridSpan w:val="2"/>
          </w:tcPr>
          <w:p>
            <w:pPr>
              <w:jc w:val="center"/>
              <w:ind w:left="1914"/>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unit-based</w:t>
            </w:r>
          </w:p>
        </w:tc>
        <w:tc>
          <w:tcPr>
            <w:tcW w:w="7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Exercise price</w:t>
            </w: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20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p>
        </w:tc>
        <w:tc>
          <w:tcPr>
            <w:tcW w:w="7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value per</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rPr>
              <w:t>per unit</w:t>
            </w:r>
          </w:p>
        </w:tc>
        <w:tc>
          <w:tcPr>
            <w:tcW w:w="72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common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15, 2020</w:t>
            </w:r>
          </w:p>
        </w:tc>
        <w:tc>
          <w:tcPr>
            <w:tcW w:w="20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April 2, 2020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12,333</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16.92</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May 2, 2020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February 18, 2021</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7.14</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April 30, 2021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409,107</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Based on the initial public offering price of $13.00 per share of common stock, which is the midpoint of the price range on the cover page of this prospectus, the aggregate intrinsic value of vested and unvested unit options outstanding as of March 31, 2021 was de minimis.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Estimating the Fair Value of Common Stock</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are required to estimate the fair value of the common stock underlying our unit-based awards when performing the fair value calculations using the Black-Scholes option pricing model. Because our common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320" w:top="459" w:right="5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member units are not currently publicly traded, the fair value of the common stock underlying our unit options has been approved on each grant date by our board of managers or board of directors, as applicable, with input from management.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third-party valuations of our common stocks were performed using methodologies, approaches and assumptions consistent with the American Institute of Certified Public Accountants, </w:t>
      </w:r>
      <w:r>
        <w:rPr>
          <w:rFonts w:ascii="Arial" w:cs="Arial" w:eastAsia="Arial" w:hAnsi="Arial"/>
          <w:sz w:val="18"/>
          <w:szCs w:val="18"/>
          <w:i w:val="1"/>
          <w:iCs w:val="1"/>
          <w:color w:val="auto"/>
        </w:rPr>
        <w:t>Audit and Accounting Practice Aid Series: Valuation of Privately Held 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In addition, our board of managers and board of directors considered various objective and subjective factors to estimate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our common member units, including:</w:t>
      </w:r>
    </w:p>
    <w:p>
      <w:pPr>
        <w:spacing w:after="0" w:line="92" w:lineRule="exact"/>
        <w:rPr>
          <w:sz w:val="20"/>
          <w:szCs w:val="20"/>
          <w:color w:val="auto"/>
        </w:rPr>
      </w:pPr>
    </w:p>
    <w:p>
      <w:pPr>
        <w:ind w:left="1080" w:right="4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prices of our preferred member units sold to outside investors in arm’s length transactions, and the rights, preferences and privileges of our preferred member units as compared to those of our common member units, including the liquidation preferences of our preferred member units;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estimated value of each security both outstanding and anticipated;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anticipated capital structure, which will directly impact the value of the currently outstanding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results of operations and financial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status of our research and development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liquidity of our common member units as a private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and global economic conditions;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member units,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value and volatility of comparable companies.</w:t>
      </w:r>
    </w:p>
    <w:p>
      <w:pPr>
        <w:spacing w:after="0" w:line="22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determining the estimated fair value of our common member units, our board of managers considered the subjective factors discussed above in conjunction with the most recent valuations of our common member units that were prepared by an independent third party. An independent valuation specialist was utilized by our board of managers when determining the estimated fair value of common member units for the awards granted from February 2020 through February 2021. Our board of managers, relying on these third-party valuations, approved valuations of our common member units of $13.55 per share as of February and April 2020, $1.86 per share as of May 2020 and $1.74 per share as of February 2021. Additionally, our board of directors, approved a valuation of our common stock of $1.74 as of April 2021. In making such determination in April 2021, our board of directors considered the private placement of our Series A Units and warrants that occurred during the three months ended March 31, 2021 as well as other factors our board of directors deemed appropriate.</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Following the closing of this offering, the fair value of our common stock will be the closing price of our common stock on the Nasdaq Capital Market as reported on the date of the grant.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Estimating the Fair Value of Convertible Notes</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have elected the fair value option for the accounting for our convertible notes issued since inception and utilized an independent third-party valuation specialist to assist management in measuring the fair value. The fair value of the Junior Convertible Notes at December 31, 2019 was estimated using a Contingent Claims Analysis, also called the Option Pricing Method (“OPM”). The model estimated the fair value of the convertible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promissory notes based on accrued interest, the expected timing of a future liquidity event and the value of a future liquidity event. Because the Company’s capital structure varied, it was necessary to value the securities in a lattice framework rather than using the Black-Scholes-Merton formula. The fair value of the Senior Convertible Notes at December 31, 2020 was calculated using an OPM framework and utilized the back-solve method for inferring and allocating the equity value predicated on the concurrent sale of Series A Units. This method was selected as we concluded that the sale of the Series A Units was an arm’s-length transaction. Application of the OPM back-solve method involves making assumptions for the expected time to liquidity and volatility, and then solving for the value of equity such that value for the most recent financing equals the amount paid.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See Note 3 to our audited consolidated financial statements found elsewhere in this prospectus for a description of recent accounting pronouncements applicable to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exposed to market risk related to changes in interest rates. As of March 31, 2021, we had cash and cash equivalents of $1.7 million consisting of bank deposits and a commercial money market account. Due to the short-term duration of our cash equivalents, an immediate 10% change in interest rates would not have a material effect on the fair market value.</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Inflation generally affects us by increasing our labor and clinical trial costs. We do not believe inflation had a material effect on our business, financial condition or results of operations during the years ended December 31, 2019 and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this offering, (ii) in which we have total annual gross revenues of at least $1.07 billion or (iii) in which we are deemed to be a “large accelerated filer” under the rules of the SEC, which means that we have been required to file annual and quarterly reports under the Exchange Act for a period of at least 12 months and have filed at least one annual report pursuant to the Exchange Act and either (a) the market value of our common stock that is held by non-affiliates exceeds $700.0 million as of the prior June 30th, or (b) the date on which we have issued more than $1.0 billion in non-convertible debt during the prior three-year period.</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clinical-stage biopharmaceutical company dedicated to improving the lives of women living with cancer.</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Profound advancements in oncology drug development have expanded the treatment options available to women with cancer, yet therapeutic resistance and relapse continue to limit the efficacy and duration of such treatments. Collectively, our founders and management team have decades of experience identifying and characterizing the mechanisms that drive cancer initiation and subsequent relapse in women with cancer and who have been associated with the development of products such as Kisqali (ribociclib), Arimidex (anastrozole), and Afinitor (everolimus) to treat such cancers.</w:t>
      </w:r>
    </w:p>
    <w:p>
      <w:pPr>
        <w:spacing w:after="0" w:line="15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development team is advancing a pipeline of innovative therapies with a primary focus on treating female cancers. Our first program and lead product candidate, onapristone extended release (“ONA-XR”), builds upon a foundation of successful drug development by our management team and advisors in the field of female hormone-dependent cancers. ONA-XR is a selective and potentially potent antagonist of the progesterone receptor (PR), a receptor that is activated by the hormone progesterone and that has been linked to resistance to multiple classes of cancer therapeutics, including anti-estrogen therapies, that are prescribed to treat female hormone-dependent cancers. In 2019, we initiated a Phase 2 investigator-sponsored trial in collaboration with Memorial Sloan Kettering Cancer Center to evaluate ONA-XR in women with ovarian cancer who express high levels of progesterone receptor (PR+) and we expect to report preliminary data from this trial in the second half of 2021. In 2020, we initiated a Phase 2 investigator-sponsored trial in collaboration with Thomas Jefferson University to evaluate ONA-XR in combination with Arimidex (anastrozole) in PR+ endometrial cancer and we initiated a Phase 0 trial of ONA-XR in a window of opportunity study in primary breast cancer, and we expect to report preliminary data in the first half of 2022 and final data in late 2022 for each trial, respectively. The window of opportunity study is a three week study in women with primary breast cancer and subsequent lumpectomy to evaluate the direct effects of ONA-XR on the cancer signaling pathways and the tumor microenvironment. In 2021, a Phase 1b/2 investigator-sponsored trial was initiated in collaboration with Memorial Sloan Kettering Cancer Center to evaluate ONA-XR in combination with Ibrance (palbociclib) and Femara (leterozole) in first line metastatic breast cancer patients with biochemically recurrent disease, defined as circulating tumor DNA (ctDNA) positive. This is potentially a new clinical opportunity for the estimated 20% of 1L patients who are at high risk of early disease progression on Ibrance and Femara therapy. Also in 2021, a Phase 2 investigator-sponsored trial was initiated in collaboration with Wisconsin Oncology Network to evaluate ONA-XR in combination with Faslodex (fulvestrant) in second or third line metastatic breast cancer. This trial is intended to establish ONA-XR plus Faslodex drug synergy after treatment failure of CDK4/6 inhibitor and/or PIK3α inhibitors. We expect to report preliminary data from one of these trials in the first half of 2022. In 2021, we also initiated a sub-study of our Phase 2 trial in 2L/3L metastatic breast cancer, which evaluates the uptake of radiolabeled progesterone (F-FFNP) via PET imaging in breast tumors, with preliminary data expected to come in the first half of 2022. Our second program, CLDN6xCD3 bsAb, is an anti-CD3 x anti-Claudin 6 (CLDN6) antigen bispecific monoclonal antibody (bsAbs) that is intended to redirect T-cell-mediated lysis toward malignant cells expressing CLDN6. CLDN6 is a tight junction membrane protein target expressed in multiple cancers, including ovarian and endometrial tumors, and absent from healthy adult tissues. We expect to enter IND-enabling studies for CLDN6xCD3 bsAb in 2022. Beyond these two product candidates, we have a discovery-stage program evaluating antagonists of Sigma1 for breast and prostate cancer. We believe our team and capabilities uniquely position us to be a leader in developing novel therapies to address female hormone-dependent cancers.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Context retains worldwide development and commercialization rights for ONA-XR outside of Greater China and retains full worldwide development and commercialization rights to certain CLDN6 antibody patents in the field of bispecific antibodies and to certain patents related to Sigma1. Our product candidates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-10795</wp:posOffset>
            </wp:positionV>
            <wp:extent cx="5186045" cy="2322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Pipeline and Development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 antagonist program: ONA-XR</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Currently, there are no approved therapies that selectively target progesterone receptor positive (PR+) cancers. Preclinical and clinical data suggest that onapristone extended release (ONA-XR) has anticancer activity by inhibiting PR binding to chromatin, downregulating cancer stem cell mobilization and blocking immune evasion. ONA-XR is currently being evaluated in three Phase 2 trials, one Phase 1b/2 trial and two Phase 0 biomarker pharmacodynamic trials in women with primary or metastatic breast, ovarian, and endometrial cancers. These trials are intended to establish safety, pharmacokinetics, pharmacodynamics, and anti-tumor activity at the recommended Phase 2 dose of ONA-XR to guide potential advancement in Phase 3 development in 2023.</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help inform which patients may be most suitable for treatment with ONA-XR, we are evaluating multiple biomarker assays, including tools to monitor activated progesterone receptor as well as a PR gene activation signature that measures PR signaling activity, both of which are being utilized in our ongoing clinical trials and may be used for patient selection in future clinical trials. We expect to report preliminary data from at least one Phase 2 trial in the first half of 2021 and from the other trials in the second half of 2022.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CLDN6xCD3 bispecific antibody program</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second program, CLDN6xCD3 bsAb, is an anti-CD3 x anti-Claudin 6 (CLDN6xCD3) antigen bispecific monoclonal antibody (bsAbs) that is intended to redirect T-cell-mediated lysis toward malignant cells expressing CLDN6. CLDN6 is a tight junction membrane protein target expressed in multiple hormone-dependent cancers, including ovarian and endometrial tumors, and absent from healthy adult tissues. The structural complexity of CLDN6 and its similarity to proteins expressed on healthy tissue, particularly Claudin 4 and Claudin 9 (CLDN9), have limited its exploitation for targeted oncology therapies. Several global pharmaceutical companies are developing anti-CLDN6 antibodies, but due to significant antibody selectivity challenges, to our knowledge, there are no selective inhibitors of CLDN6 in clinical development. We expect to enter IND-enabling studies for CLDN6xCD3 bsAb in 2022.</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In addition to our product candidates, we are leveraging our knowledge in hormone-dependent cancers to pursue discovery stage research programs, including Sigma1. Sigma1 is a cellular protein that regulates homeostasis and has been shown to play a role in breast and prostate cancer. The Sigma1 discovery research program is currently in lead optimization and has undergone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Management Team</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assembled a management team to develop novel products to treat female hormone-dependent cancers. Members of our management team have experience leading organizations that have advanced multiple oncology therapeutics from early-stage research to clinical trials, and ultimately to regulatory approval and commercialization. Our team’s select accomplishments include:</w:t>
      </w:r>
    </w:p>
    <w:p>
      <w:pPr>
        <w:spacing w:after="0" w:line="89" w:lineRule="exact"/>
        <w:rPr>
          <w:sz w:val="20"/>
          <w:szCs w:val="20"/>
          <w:color w:val="auto"/>
        </w:rPr>
      </w:pPr>
    </w:p>
    <w:p>
      <w:pPr>
        <w:ind w:left="1080" w:right="2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Chief Executive Officer co-founded Context in 2015 and was previously a venture capitalist at Osage University Partners, where he led multiple oncology investments for the firm that resulted in successful public offerings or acquisitions.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Chief Legal Officer previous severed as Vice President, Deputy General Counsel and Assistant Corporate Secretary of OptiNose, a publicly-traded specialty pharmaceutical company. Prior to OptiNose, Mr. Levit served as Associate General Counsel of Teva Pharmaceuticals, a global pharmaceuticals company, from 2010 until 2017.</w:t>
      </w:r>
    </w:p>
    <w:p>
      <w:pPr>
        <w:spacing w:after="0" w:line="89"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Chief Medical Officer previously held the same position at H3 Biomedicine, where he led the early phase development for an oral selective estrogen receptor covalent antagonist (SERCA). During his career, he has either led or supported global drug development programs for several novel oncology drugs, including Kisqali (ribociclib), Arimidex (anastrozole), and Afinitor (everolimus), resulting in successful global registrations.</w:t>
      </w:r>
    </w:p>
    <w:p>
      <w:pPr>
        <w:spacing w:after="0" w:line="92"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Head of Chemistry Manufacturing Controls and Regulatory has worked for many life sciences companies during his 30+ year career, including, SKB, McNeil, Schering and the CONRAD Program, holding positions as group leader through director.</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Senior Vice President of Research and Development was most recently Senior Vice President of Research and Development at Aclaris Therapeutics, where his team was responsible for the registration of ESKATA and identified and led the acquisition and subsequent development of CDD-450, an MK-2 pathway inhibitor.</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management team has been involved in several multimillion-dollar strategic transactions, including as part of the leadership teams at Celgene, Novartis, and Ception Therapeutics.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are supported by our advisors who are leading experts in hormone-dependent cancer and anti-estrogen resistance, including Dr. Carol Lange, Dr. Larry Norton, and Dr. Felix Kim, a co-founder of Context. Our arrangements with these individuals do not entitle us to any of their existing or future intellectual property derived from their independent research or research with other third parties beyond what has previously been licensed to us.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goal is to develop and commercialize innovative and differentiated oncology products that address significant unmet medical needs in the field of female cancer, with a primary focus on the hormone-dependent subcategory. The key components of our strategy to achieve this goal include:</w:t>
      </w:r>
    </w:p>
    <w:p>
      <w:pPr>
        <w:spacing w:after="0" w:line="29" w:lineRule="exact"/>
        <w:rPr>
          <w:sz w:val="20"/>
          <w:szCs w:val="20"/>
          <w:color w:val="auto"/>
        </w:rPr>
      </w:pPr>
    </w:p>
    <w:p>
      <w:pPr>
        <w:ind w:left="1080" w:right="260" w:hanging="424"/>
        <w:spacing w:after="0" w:line="25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Leveraging the insights, experience, and networks of our management team and advisors. </w:t>
      </w:r>
      <w:r>
        <w:rPr>
          <w:rFonts w:ascii="Arial" w:cs="Arial" w:eastAsia="Arial" w:hAnsi="Arial"/>
          <w:sz w:val="18"/>
          <w:szCs w:val="18"/>
          <w:color w:val="auto"/>
        </w:rPr>
        <w:t>Our management team and advisors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experience identifying, developing, and commercializing innovative cancer therapeutics aimed at novel targets, including Kisqali, Arimidex, and Afinitor. We are using this broad oncology experience together with our internal search and development capabilities to build a diverse pipeline of therapies targeting multiple cancer resistance mechanisms. For example, our first program and lead product candidate, ONA-XR, while acquired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from Arno Therapeutics, builds on academic work originally conducted by the laboratory of our scientific advisor, Dr. Carol Lange.</w:t>
      </w:r>
    </w:p>
    <w:p>
      <w:pPr>
        <w:spacing w:after="0" w:line="142" w:lineRule="exact"/>
        <w:rPr>
          <w:sz w:val="20"/>
          <w:szCs w:val="20"/>
          <w:color w:val="auto"/>
        </w:rPr>
      </w:pPr>
    </w:p>
    <w:p>
      <w:pPr>
        <w:ind w:left="108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Focusing on product candidates that can be first or second in market based on current competition</w:t>
      </w:r>
      <w:r>
        <w:rPr>
          <w:rFonts w:ascii="Arial" w:cs="Arial" w:eastAsia="Arial" w:hAnsi="Arial"/>
          <w:sz w:val="18"/>
          <w:szCs w:val="18"/>
          <w:color w:val="auto"/>
        </w:rPr>
        <w:t>. We believe that being first or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market provides a unique advantage that later competitors may not be able to overcome. Based on the current competitors that are developing similar product candidates, we believe that we have the opportunity to be the first anti-progestin approved for PR+ cancer and one of the early market participants with our CLDN6xCD3 bsAb.</w:t>
      </w:r>
    </w:p>
    <w:p>
      <w:pPr>
        <w:spacing w:after="0" w:line="92" w:lineRule="exact"/>
        <w:rPr>
          <w:rFonts w:ascii="Arial" w:cs="Arial" w:eastAsia="Arial" w:hAnsi="Arial"/>
          <w:sz w:val="18"/>
          <w:szCs w:val="18"/>
          <w:color w:val="auto"/>
        </w:rPr>
      </w:pPr>
    </w:p>
    <w:p>
      <w:pPr>
        <w:ind w:left="1080" w:right="80" w:hanging="424"/>
        <w:spacing w:after="0" w:line="285"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Completing clinical development and obtaining regulatory approval for ONA-XR for the treatment of breast, ovarian, and endometrial cancer</w:t>
      </w:r>
      <w:r>
        <w:rPr>
          <w:rFonts w:ascii="Arial" w:cs="Arial" w:eastAsia="Arial" w:hAnsi="Arial"/>
          <w:sz w:val="16"/>
          <w:szCs w:val="16"/>
          <w:color w:val="auto"/>
        </w:rPr>
        <w:t>. The PR signaling pathway has been implicated in resistance to anti-estrogen therapies in female hormone-dependent cancers,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breast, ovarian, and endometrial cancer. Our clinical development effort for ONA-XR, a selective and potentially potent small molecule antagonist of PR, will initially focus on indications where there is evidence suggesting PR-mediated signaling contributes to resistance and disease progression. In 2019, a Phase 2 investigator-sponsored trial was initiated in collaboration with Memorial Sloan Kettering Cancer Center to evaluate ONA-XR in women with ovarian cancer who express high levels of progesterone receptor (PR+) and we expect to report preliminary data from this trial in the second half of 2021. In 2020, a Phase 2 investigator-sponsored trial was initiated in collaboration with Thomas Jefferson University to evaluate ONA-XR in combination with Arimidex (anastrozole) in PR+ endometrial cancer and we initiated a Phase 0 trial of ONA-XR in a window of opportunity study in primary breast cancer, and we expect to report preliminary data in the first half of 2022 and final data in late 2022 for each trial, respectively. In 2021, a Phase 1b/2 investigator-sponsored trial was initiated in collaboration with Memorial Sloan Kettering Cancer Center to evaluate ONA-XR in combination with Ibrance (palbociclib) and Femara (leterozole) in first line metastatic breast cancer patients with biochemically recurrent disease, defined as circulating tumor DNA (ctDNA) positive. This is potentially a new clinical opportunity for the estimated 20% of 1L patients who are at high risk of early disease progression on Ibrance and Femara therapy. Also in 2021, a Phase 2 investigator-sponsored trial was initiated in collaboration with Wisconsin Oncology Network to evaluate ONA-XR in combination with Faslodex (fulvestrant) in 2L/3L metastatic breast cancer. This trial is intended to establish ONA-XR plus Faslodex drug synergy after treatment failure of CDK4/6 inhibitor and/or PIK3α inhibitors. We expect to report preliminary data from one of these trials in the first half of 2022. In 2021, we also initiated a sub-study of our Phase 2 trial in 2L/3L metastatic breast cancer, which evaluates radiolabeled progesterone uptake in breast tumors, with preliminary data expected to come in the first half of 2022.</w:t>
      </w:r>
    </w:p>
    <w:p>
      <w:pPr>
        <w:spacing w:after="0" w:line="74" w:lineRule="exact"/>
        <w:rPr>
          <w:rFonts w:ascii="Arial" w:cs="Arial" w:eastAsia="Arial" w:hAnsi="Arial"/>
          <w:sz w:val="16"/>
          <w:szCs w:val="16"/>
          <w:color w:val="auto"/>
        </w:rPr>
      </w:pPr>
    </w:p>
    <w:p>
      <w:pPr>
        <w:ind w:left="1080" w:right="20" w:hanging="424"/>
        <w:spacing w:after="0" w:line="25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Advancing our second program, CLDN6xCD3 bsAb, as rapidly as reasonably possible through preclinical and clinical development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second program, CLDN6xCD3 bsAb, is an anti-CD3 x anti-Claudin 6 (CLDN6xCD3) antigen bispecific monoclonal antibody (bsAbs) that is intended to redirect T-cell-mediated lysis toward malignant cells expressing CLDN6. CLDN6 is a membrane protein target expressed in multiple hormone-dependent cancers, including ovarian and endometrial, and absent from healthy adult tissues. We expect to enter IND-enabling studies for CLDN6xCD3 bsAb in 2022.</w:t>
      </w:r>
    </w:p>
    <w:p>
      <w:pPr>
        <w:spacing w:after="0" w:line="93"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Developing our other drug candidates</w:t>
      </w:r>
      <w:r>
        <w:rPr>
          <w:rFonts w:ascii="Arial" w:cs="Arial" w:eastAsia="Arial" w:hAnsi="Arial"/>
          <w:sz w:val="18"/>
          <w:szCs w:val="18"/>
          <w:color w:val="auto"/>
        </w:rPr>
        <w:t>. In addition to our product candidates, we are leveraging our knowledge in hormone-dependent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cancer to pursue discovery stage research programs, including Sigma1. Sigma1 is a cellular protein that regulates homeostasis and has been shown to play a role in breast and prostate cancer. The Sigma1 discovery research program is currently in lead optimization and has undergone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w:t>
      </w:r>
    </w:p>
    <w:p>
      <w:pPr>
        <w:spacing w:after="0" w:line="92" w:lineRule="exact"/>
        <w:rPr>
          <w:rFonts w:ascii="Arial" w:cs="Arial" w:eastAsia="Arial" w:hAnsi="Arial"/>
          <w:sz w:val="18"/>
          <w:szCs w:val="18"/>
          <w:color w:val="auto"/>
        </w:rPr>
      </w:pPr>
    </w:p>
    <w:p>
      <w:pPr>
        <w:ind w:left="1080" w:right="180" w:hanging="424"/>
        <w:spacing w:after="0" w:line="272"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Evaluating opportunities to accelerate development timelines and enhance the commercial potential of our programs in collaboration with third parties, including through the potential out-licensing of our product candidates. </w:t>
      </w:r>
      <w:r>
        <w:rPr>
          <w:rFonts w:ascii="Arial" w:cs="Arial" w:eastAsia="Arial" w:hAnsi="Arial"/>
          <w:sz w:val="17"/>
          <w:szCs w:val="17"/>
          <w:color w:val="auto"/>
        </w:rPr>
        <w:t>We have established collaborations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 to continue evaluating opportunities to work with partners that meaningfully enhance our capabilities with respect to the development and commercialization of our product candidates, which may entail the potential out-licensing of the development and commercialization of our product candidates to larger pharmaceutical organizations, including our lead product candidate ONA-XR. For example, we have entered into a manufacturing and development agreement with Tyligand Biosciences Ltd for ONA-XR that is intended to enhance our ability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6" w:lineRule="auto"/>
        <w:rPr>
          <w:sz w:val="20"/>
          <w:szCs w:val="20"/>
          <w:color w:val="auto"/>
        </w:rPr>
      </w:pPr>
      <w:r>
        <w:rPr>
          <w:rFonts w:ascii="Arial" w:cs="Arial" w:eastAsia="Arial" w:hAnsi="Arial"/>
          <w:sz w:val="17"/>
          <w:szCs w:val="17"/>
          <w:color w:val="auto"/>
        </w:rPr>
        <w:t>to meet drug manufacturing demands and expand our clinical trial footprint into Greater China. It is also possible that similar arrangements for ONA-XR could be sought for other geographic footprints. In addition, we intend to commercialize our product candidates in key markets either alone or with partners in order to maximize the worldwide commercial potential of our programs.</w:t>
      </w:r>
    </w:p>
    <w:p>
      <w:pPr>
        <w:spacing w:after="0" w:line="71" w:lineRule="exact"/>
        <w:rPr>
          <w:sz w:val="20"/>
          <w:szCs w:val="20"/>
          <w:color w:val="auto"/>
        </w:rPr>
      </w:pPr>
    </w:p>
    <w:p>
      <w:pPr>
        <w:ind w:left="1080" w:right="40" w:hanging="424"/>
        <w:spacing w:after="0" w:line="29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In-licensing or acquiring additional drug candidates to build a fully integrated company focused on female hormone-dependent cancers. </w:t>
      </w:r>
      <w:r>
        <w:rPr>
          <w:rFonts w:ascii="Arial" w:cs="Arial" w:eastAsia="Arial" w:hAnsi="Arial"/>
          <w:sz w:val="16"/>
          <w:szCs w:val="16"/>
          <w:color w:val="auto"/>
        </w:rPr>
        <w:t>We believe that accessing external innovation and expertise is important to our success and plan to leverage our leadership team’s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business development experience as we evaluate potential in-licensing and acquisition opportunities to further expand our portfolio. For example, CLDN6xCD3 bsAb was licensed from Integral Molecular, Inc. (“Integral”), a company where our management and advisors have long-standing relationships. We aim to be the partner of choice for academic groups and companies in the field of female cancers.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focus on female hormone-dependent cancer</w:t>
      </w:r>
    </w:p>
    <w:p>
      <w:pPr>
        <w:spacing w:after="0" w:line="121"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Up to 70% of women with breast, ovarian, and endometrial cancer have hormone-dependent cancer. The hormones estrogen and progesterone drive cancer progression in those patients, but anti-estrogens are the only antihormonal therapy that is FDA approved and available to clinicians. Therefore, treatment of those patients to date has consisted of anti-estrogens alone or in combination with drugs that enhance the antitumor activity of anti-estrogens, including inhibitors of CDK4/6 or PI3Kα. Given the broad use of anti-estrogens, anti-estrogen resistance is now a major clinical challenge. Treatment options for anti-estrogen resistance are limited, provide modest therapeutic benefit, and are associated with side effects.</w:t>
      </w:r>
    </w:p>
    <w:p>
      <w:pPr>
        <w:spacing w:after="0" w:line="16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Estrogen and progesterone are master regulators of normal female sex organ development and function, acting via estrogen receptors (“ER”) and progesterone receptors (“PR”). Mechanistically, published data suggest that in hormone-dependent cancers, ER and PR are often hyperactive, constantly pushing breast, ovary, and endometrial tissues to grow, divide, and metastasize. One such strategy to block this hormone-mediated growth is to administer anti-estrogen therapy (fulvestrant, letrozole, anastrozole, or tamoxifen), which may be used in combination with inhibitors of CDK4/6 or PI3Kα to enhance anti-estrogen mediated effects. However, the cancer cells respond to this selective pressure of ER inhibition by further activating progesterone signaling as a compensatory mechanism, along with other resistance mechanisms that can further activate PR, including ER ligand binding mutations (</w:t>
      </w:r>
      <w:r>
        <w:rPr>
          <w:rFonts w:ascii="Arial" w:cs="Arial" w:eastAsia="Arial" w:hAnsi="Arial"/>
          <w:sz w:val="16"/>
          <w:szCs w:val="16"/>
          <w:i w:val="1"/>
          <w:iCs w:val="1"/>
          <w:color w:val="auto"/>
        </w:rPr>
        <w:t>ESR1</w:t>
      </w:r>
      <w:r>
        <w:rPr>
          <w:rFonts w:ascii="Arial" w:cs="Arial" w:eastAsia="Arial" w:hAnsi="Arial"/>
          <w:sz w:val="16"/>
          <w:szCs w:val="16"/>
          <w:color w:val="auto"/>
        </w:rPr>
        <w:t>), growth factor signaling, and enrichment of cancer stem cells. Over time, it is believed that all patients become resistant to anti-estrogens due to direct or indirect compensatory signaling mediated by the PR and other factors. These findings suggest that progesterone receptor and proteins that regulate PR could represent promising drug targets to address anti-estrogen resistance.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antiestrogen resistance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5040630" cy="22885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4063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are building a portfolio of novel agents targeting multiple anti-estrogen resistance mechanisms by leveraging our specialized expertise in hormone-dependent cancers.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 antagonist program: ONA-XR</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Published data suggest that the PR signaling pathway is implicated in resistance to anti-estrogen therapies in female hormone-dependent cancer, including breast, ovarian, and endometrial cancer. Our clinical development effort for ONA-XR, a selective and potentially potent small molecule antagonist of PR, will initially focus on indications where there is evidence suggesting PR-mediated signaling contributes to resistance and disease progression. In 2019, a Phase 2 investigator-sponsored trial was initiated in collaboration with Memorial Sloan Kettering Cancer Center to evaluate ONA-XR in women with ovarian cancer who express high levels of progesterone receptor (PR+) and we expect to report preliminary data from this trial in the second half of 2021. In 2020, a Phase 2 investigator-sponsored trial was initiated in collaboration with Thomas Jefferson University to evaluate ONA-XR in combination with Arimidex (anastrozole) in PR+ endometrial cancer and we initiated a Phase 0 trial of ONA-XR in a window of opportunity study in primary breast cancer, and we expect to report preliminary data in the first half of 2022 and final data in late 2021 for each trial, respectively. In 2021, a Phase 1b/2 investigator-sponsored trial was initiated in collaboration with Memorial Sloan Kettering Cancer Center to evaluate ONA-XR in combination with Ibrance (palbociclib) and Femara (leterozole) in first line metastatic breast cancer patients with biochemically recurrent disease, defined as circulating tumor DNA (ctDNA) positive. This is potentially a new clinical opportunity for the estimated 20% of 1L patients who are at high risk of early disease progression on Ibrance and Femara therapy. Also in 2021, a Phase 2 investigator-sponsored trial was initiated in collaboration with Wisconsin Oncology Network to evaluate ONA-XR in combination with Faslodex (fulvestrant) in 2L/3L metastatic breast cancer. This trial is intended to establish ONA-XR plus Faslodex drug synergy after treatment failure of CDK4/6 inhibitor and/or PIK3α inhibitors. We expect to report preliminary data from one of these trials in the first half of 2022. In 2021, we also initiated a sub-study of our Phase 2 trial in 2L/3L metastatic breast cancer, which evaluates the radiolabeled progresterone uptake in breast tumors, with preliminary data expected to come in the first half of 2022.</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Progesterone receptor background</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Progesterone receptor (PR) is a member of the nuclear hormone receptor family of ligand-dependent transcription factors that is expressed primarily in female reproductive tissues. In response to the endogenous steroid hormone, progesterone, PR regulates the expression of gene networks to control development, differentiation, and proliferation of target tissues and the pathological processes in endocrine-based cancers. Anti-progestins are a class of nuclear receptor ligands that act to antagonize PR by binding to the progesterone binding site within the PR-ligand binding domain.</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Recently, the role of progesterone in carcinogenesis has gained further clarity. Mechanistically, published data suggest that progesterone promotes oncogenic progression and maintenance of stem cells, creating a reservoir of pre-malignant cells to seed metastasis. Initial evidence for this tumorigenic role is derived from longitudinal studies of the use of hormone replacement therapy in menopausal women. As shown in the figure below, these studies determined that supplemental estrogen was associated with a 23% decrease in cancer risk, whereas supplemental progesterone was associated with a 25% increase in cancer risk. The results demonstrated that women who were consistently exposed to progesterone had a higher risk of developing breast cancer than those who did not. This finding was confirmed by published data wherein mice treated with progesterone exhibited enhanced breast tumor growth whereas progesterone receptor inhibition via genetic knockdown conversely inhibited tumor growth.</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Association of progesterone and breast cancer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26574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60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Source: Reprinted from the Journal of the American Medical Association Oncology, Chlebowski et al, Breast Cancer After Use of Estrogen Plus Progestin and Estrogen Alone: Analyses of Data From 2 Women’s Health Initiative Randomized Clinical Trials, Copyright 2015. Reprinted with permission from American Medical Association.</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CEE: synthetic estrogen; E: estrogen; HRT: hormone replacement therapy; MPA: synthetic progesterone; P: progesterone.</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shown in the figure below, PR can be activated by ligand (progesterone) or ligand-independent (pos-translational modifications) mechanisms. Consistent with other steroid hormone receptor family members, PR is heavily post-translationally modified and thus acts as a molecular sensor for abnormally elevated or active signaling pathways. Little overlap exists between PR transcriptomes assayed in normal relative to neoplastic cells. In cancer cells, posttranslational modifications (namely, phosphorylation and SUMOylation) create unique PR species whose altered behavior as ligand-dependent transcription factors is predicted to impact tumor initiation and progression. Due to the breadth of post-translational modifications of PR, there is limited selective mutational pressure to modify PR itself - thus, PR mutations are rare. However, when present, the PR mutations have a profound impact on PR activity and tumorigenesis.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320" w:top="459" w:right="5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Illustrative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248920</wp:posOffset>
            </wp:positionV>
            <wp:extent cx="5040630" cy="2289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4063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Note: ER: estrogen receptor; </w:t>
      </w:r>
      <w:r>
        <w:rPr>
          <w:rFonts w:ascii="Arial" w:cs="Arial" w:eastAsia="Arial" w:hAnsi="Arial"/>
          <w:sz w:val="18"/>
          <w:szCs w:val="18"/>
          <w:i w:val="1"/>
          <w:iCs w:val="1"/>
          <w:color w:val="auto"/>
        </w:rPr>
        <w:t>ESR1</w:t>
      </w:r>
      <w:r>
        <w:rPr>
          <w:rFonts w:ascii="Arial" w:cs="Arial" w:eastAsia="Arial" w:hAnsi="Arial"/>
          <w:sz w:val="15"/>
          <w:szCs w:val="15"/>
          <w:i w:val="1"/>
          <w:iCs w:val="1"/>
          <w:color w:val="auto"/>
        </w:rPr>
        <w:t>Y537S</w:t>
      </w:r>
      <w:r>
        <w:rPr>
          <w:rFonts w:ascii="Arial" w:cs="Arial" w:eastAsia="Arial" w:hAnsi="Arial"/>
          <w:sz w:val="18"/>
          <w:szCs w:val="18"/>
          <w:color w:val="auto"/>
        </w:rPr>
        <w:t>: estrogen receptor mutation.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progesterone receptor as a mechanism of resistance</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Recently, progesterone receptor has emerged as anti-estrogen resistance mechanism. Long term exposure of cancer cells to anti-estrogens results in a complex resistance profile that limits the utility of standard of care anti-estrogen and cyclin-dependent kinase 4/6 (CDK4/6) inhibitors. Mechanisms of resistance include mutations in the estrogen receptor (</w:t>
      </w:r>
      <w:r>
        <w:rPr>
          <w:rFonts w:ascii="Arial" w:cs="Arial" w:eastAsia="Arial" w:hAnsi="Arial"/>
          <w:sz w:val="17"/>
          <w:szCs w:val="17"/>
          <w:i w:val="1"/>
          <w:iCs w:val="1"/>
          <w:color w:val="auto"/>
        </w:rPr>
        <w:t>ESR1</w:t>
      </w:r>
      <w:r>
        <w:rPr>
          <w:rFonts w:ascii="Arial" w:cs="Arial" w:eastAsia="Arial" w:hAnsi="Arial"/>
          <w:sz w:val="17"/>
          <w:szCs w:val="17"/>
          <w:color w:val="auto"/>
        </w:rPr>
        <w:t>) estrogen binding domain and ER pathway signaling (e.g., MAPK, PI3Kα/mTOR proteins and associated signaling pathways). The prevalence of resistance mutations is associated with PR enrichment and activity. Based on our preclinical data and recent published data, we believe therapeutic inhibition of PR with either ONA-XR alone or in combination with anti-estrogens and/or CDK4/6 inhibitors may result in the impaired growth or death of resistant cells.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other PR antagonists</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Anti-progestins, the therapeutic inhibitors of PR, were first developed as oral contraceptives to block the maturation of the endometrium and subsequent ovulation. The first commercially available anti-progestin, Korlym (mifepristone), is a steroid derivative that acts both as a competitive progesterone receptor (PR) antagonist and as a partial PR agonist, depending on the physiological milieu. Mifepristone is approved for controlling hyperglycemia secondary to hypercortisolism in adult Cushing’s syndrome associated with Type 2 diabetes. Mifepristone was also clinically evaluated in breast and ovarian carcinomas, and while showing evidence of efficacy in clinical studies, mifepristone was also associated with off-target glucocorticoid receptor (GR) modulation leading to cortisolemia and rare cases of cholestasis. In order to optimize PR antagonism while minimizing off-target activities, additional anti-progestins—including ulipristal, telapristone, lonaprisan and onapristone—were developed and evaluated in gynecological cancer.</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Illustrative comparison of progesterone receptor antagonists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171450</wp:posOffset>
            </wp:positionV>
            <wp:extent cx="4963160" cy="22802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6316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AR: androgen receptor; C-13: carbon 13; n.a.: not applicable;1L mBCa: first-line metastatic breast cancer.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ONA-XR differentiation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Onapristone is a competitive PR antagonist that has no intrinsic activity for activating the receptor. As such, onapristone is also termed a “full” PR antagonist (inhibitor). Based on published data, all other anti-progestins that have reached the clinic demonstrate partial PR agonism. This differentiation may have a structural basis. It is well established that high energy, conformationally complex chemicals have improved selectivity and target affinity relative to low energy, flat counterparts. As shown above, all other anti-progestins have a roughly planar ring, low energy, A thru D conformation. In contrast, onapristone shows an inversion of stereochemistry at the C-13 methyl group that results in a high energy, chair conformation. This structural property is unique among clinically evaluated anti-progestins and may be important for onapristone’s full PR antagonist properties, as shown below.</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Onapristone PR binding properties vs. other anti-progestins and progesterone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171450</wp:posOffset>
            </wp:positionV>
            <wp:extent cx="2743200" cy="1920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32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color w:val="auto"/>
        </w:rPr>
        <w:t>Source: Reprinted from Steroids, Elger et al, Endocrine pharmacological characterization of progesterone antagonists and progesterone receptor modulators with respect to PR-agonistic and antagonistic activity, Copyright 2000. Reprinted with permission from Elsevier.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RU 486: mifepristone; J 867: asoprisnil; Ona: onapristone.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Classic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have provided limited benefit in determining PR agonist versus antagonist properties. As the cost of gene expression profiling has decreased considerably over the last decade, it is now feasible to run comparative studies to determine how compounds are affecting the expression, positively or negatively, of target genes. Afhuppe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(2009) conducted the first such study comparing anti-progestins in a gene array panel. T47D breast cancer cells (ER+, PR+) were grown in 2D, stimulated with estrogen (estradiol), and treated with anti-progestins. An Affymetrix</w:t>
      </w:r>
      <w:r>
        <w:rPr>
          <w:rFonts w:ascii="Arial" w:cs="Arial" w:eastAsia="Arial" w:hAnsi="Arial"/>
          <w:sz w:val="14"/>
          <w:szCs w:val="14"/>
          <w:color w:val="auto"/>
        </w:rPr>
        <w:t>®</w:t>
      </w:r>
      <w:r>
        <w:rPr>
          <w:rFonts w:ascii="Arial" w:cs="Arial" w:eastAsia="Arial" w:hAnsi="Arial"/>
          <w:sz w:val="17"/>
          <w:szCs w:val="17"/>
          <w:color w:val="auto"/>
        </w:rPr>
        <w:t xml:space="preserve"> gene chip analysis of the cells was then conducted to determine transcriptional activity on the level of target genes. Onapristone demonstrated the purest PR antagonist activity as indicated downregulation (green blocks) of almost all PR target genes analyzed, whereas mifepristone had a transcriptional profile closer to R5020, which is pure progesterone.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Modulation of PR signaling genes by different anti-progestins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5944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8604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Source: Reprinted from The Journal of Steroid Biochemistry and Molecular Biology, Afhüppe et al, Global gene expression profiling of progesterone receptor modulators in T47D cells provides a new classification system, Copyright 2009. Reprinted with permission from Elsevier.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Anti-progestin clinical trial data</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In subjects with breast cancer, clinical trials with mifepristone, lonapristone and onapristone demonstrated partial responses. Onapristone clinical efficacy in breast cancer was studied in two Phase 1-2 clinical studies treating hormone therapy-naïve and tamoxifen-resistant metastatic breast cancer, while the safety component of a third Phase 1-2 study has been reported by Cottu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(2018). The earlier onapristone trials in breast cancer dosed orally with a simple solid dosage form (an “immediate release” or “IR” form; onapristone IR; ONA-IR), ONA-IR 100mg once per day (QD), for periods exceeding 12 months. The third breast cancer study used the extended release form, ONA-XR, dosed at 50mg twice per day (BID). Robertson </w:t>
      </w:r>
      <w:r>
        <w:rPr>
          <w:rFonts w:ascii="Arial" w:cs="Arial" w:eastAsia="Arial" w:hAnsi="Arial"/>
          <w:sz w:val="16"/>
          <w:szCs w:val="16"/>
          <w:i w:val="1"/>
          <w:iCs w:val="1"/>
          <w:color w:val="auto"/>
        </w:rPr>
        <w:t>et al</w:t>
      </w:r>
      <w:r>
        <w:rPr>
          <w:rFonts w:ascii="Arial" w:cs="Arial" w:eastAsia="Arial" w:hAnsi="Arial"/>
          <w:sz w:val="16"/>
          <w:szCs w:val="16"/>
          <w:color w:val="auto"/>
        </w:rPr>
        <w:t xml:space="preserve"> (1999) reported a 67% clinical benefit rate (CBR), defined as tumor shrinkage or tumor growth stabilization lasting for more than 6 months, while Jonat </w:t>
      </w:r>
      <w:r>
        <w:rPr>
          <w:rFonts w:ascii="Arial" w:cs="Arial" w:eastAsia="Arial" w:hAnsi="Arial"/>
          <w:sz w:val="16"/>
          <w:szCs w:val="16"/>
          <w:i w:val="1"/>
          <w:iCs w:val="1"/>
          <w:color w:val="auto"/>
        </w:rPr>
        <w:t xml:space="preserve">et al </w:t>
      </w:r>
      <w:r>
        <w:rPr>
          <w:rFonts w:ascii="Arial" w:cs="Arial" w:eastAsia="Arial" w:hAnsi="Arial"/>
          <w:sz w:val="16"/>
          <w:szCs w:val="16"/>
          <w:color w:val="auto"/>
        </w:rPr>
        <w:t>(2002) reported a 49% CBR. Both studies, therefore, indicated that onapristone could have a clinically meaningful impact on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hormone-dependent breast cancer. Clinical development of ONA-IR for use in reproductive medicine and benign gynecological conditions was discontinued by the original sponsor (Schering AG), possibly due to concerns around drug-induced liver injury.</w:t>
      </w:r>
    </w:p>
    <w:p>
      <w:pPr>
        <w:spacing w:after="0" w:line="166"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extensive use of anti-estrogens, together with efficacy limits with earlier anti-progestins, has led to renewed interest in anti-progestins as therapies for breast and gynecologic cancer, as well as for uterine fibroids and endometriosis. Compared to earlier anti-progestin clinical trials, we believe we have a better tolerated formulation of onapristone (ONA-XR) and we will be able to better identify those patients who are most likely to benefit from anti-progestin therapy through the incorporation of biomarkers in our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current opportunities for ONA-XR</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Within the G7 (EU5, Japan, US) countries, it is estimated that there are over 355,000 patients living with metastatic breast, ovarian, or endometrial cancer. Up to 70% of these patients are expected to be progesterone receptor positive and would potentially be eligible for treatment with ONA-XR.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Prevalence in G7 countries for metastatic breast, ovarian, and endometrial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168910</wp:posOffset>
            </wp:positionV>
            <wp:extent cx="4783455" cy="256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8345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Source: secondary epidemiologic estimates, 2020 estimates.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EU5: France, Germany, Italy, Spain, United Kingdom.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Resistance to anti-estrogen therapy in breast cancer</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have chosen PR antagonism in breast cancer as our initial therapeutic focus due to the well-documented biology of PR signaling as a mechanism of resistance to anti-estrogen therapy in patients with hormone-dependent breast cancer. Hormone-dependent breast cancer cells express estrogen (ER) and/or progesterone receptors (PR) that allow the cells to grow in the presence of the hormones estrogen and/or progesterone. Published data suggests that PR signaling is predominantly required for breast cancer cell renewal (i.e., stemness) and metastatic spread, whereas ER is predominantly required for breast cancer cell proliferation. By combining anti-progestin and anti-estrogen therapy, we have shown preclinically that breast cancer cell growth, renewal, and spread can be mitigated. Based on these data, we believe that ONA-XR, in combination with current standard-of-care anti-estrogens, has the potential to significantly improve clinical outcomes.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Breast cancer overview</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Breast cancer is the most frequent cancer among women, impacting 2.1 million women globally each year, and causing the greatest number of cancer-related deaths among women. In 2018, it is estimated that 627,000 women died from breast cancer worldwide — that is approximately 15% of all cancer deaths among women according to the World Health Organization. According to the American Cancer Society, the prevalence of women in the United States living with adjuvant, first line metastic, or second/third line metastatic breast cancer are an estimated 250,000, 75,000, and 35,000 respectively.</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Breast cancer treatment is primarily determined by the presence or absence of three proteins: estrogen receptor (ER), progesterone receptor (PR), and HER2. The presentation of these proteins determines the subtype of breast cancer, which helps determine the optimal form of treatment for the patient. Patients who are ER+,PR+,HER2- are considered to be hormone receptor positive (i.e., hormone-dependent) and represent about 70% of breast cancers. HER2+ patients and triple negative patients (ER-,PR-,HER2-) represent the remaining 30% of breast cancers.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320" w:top="459" w:right="5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Estrogen-deprivation (anti-estrogen) therapy is the core treatment modality in patients with hormone receptor positive metastatic breast cancer according to NCCN Guidelines</w:t>
      </w:r>
      <w:r>
        <w:rPr>
          <w:rFonts w:ascii="Arial" w:cs="Arial" w:eastAsia="Arial" w:hAnsi="Arial"/>
          <w:sz w:val="14"/>
          <w:szCs w:val="14"/>
          <w:color w:val="auto"/>
        </w:rPr>
        <w:t>®</w:t>
      </w:r>
      <w:r>
        <w:rPr>
          <w:rFonts w:ascii="Arial" w:cs="Arial" w:eastAsia="Arial" w:hAnsi="Arial"/>
          <w:sz w:val="17"/>
          <w:szCs w:val="17"/>
          <w:color w:val="auto"/>
        </w:rPr>
        <w:t>. Anti-estrogen therapy options for postmenopausal women with ER+ advanced breast cancer include:</w:t>
      </w:r>
    </w:p>
    <w:p>
      <w:pPr>
        <w:spacing w:after="0" w:line="52"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Selective ER modulators (SERM): tamoxifen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ER antagonists: fulvestrant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Selective nonsteroidal aromatase inhibitors: anastrozole and letrozole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Steroidal aromatase inhibitors: exemestane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cyclin-dependent kinase 4 and 6 (CDK4/6) inhibitors are rapidly transforming the care of patients with ER+,HER2- advanced breast cancer. There are currently three CDK4/6 inhibitors that have been approved by the U.S. Food and Drug Administration: Ibrance, Kisqali, and Verzenio. It is generally recommended to use the combination of a CDK4/6 inhibitor along with an aromatase inhibitor (i.e., letrozole) for first line locally advanced or metastatic breast cancer treatment.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breast cancer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246380</wp:posOffset>
            </wp:positionV>
            <wp:extent cx="5186045" cy="1971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860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ORR: overall response rate; PFS: progression free survival.</w:t>
      </w:r>
    </w:p>
    <w:p>
      <w:pPr>
        <w:spacing w:after="0" w:line="22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Upon first line disease progression, second line therapy is most often fulvestrant (anti-estrogen) or fulvestrant plus alpelisib (Piqray), a PI3Kα inhibitor, if the patients have PIK3CA-mutated hormone receptor-positive breast cancer. Fulvestrant plus Piqray was FDA approved in 2019 based on a Phase III trial of 572 patients that demonstrated a progression free survival (PFS) of 11.0 months vs. 5.7 months in the Piqray plus fulvestrant arm compared with fulvestrant alone (HR, 0.65, 95% CI 0.50–0.85). However, a total of 25% of patients discontinued Piqray plus fulvestrant therapy due to toxicities, thus, emphasizing the need for novel agents. Upon progression on second line therapy, mammalian target of rapamycin (mTOR) inhibitors, including everolimus (Afinitor), plus anti-estrogen based regimen or chemotherapy is administered. One key limitation of both the Afinitor and Piqray studies is the lack of data for the role of these agents after prior CDK4/6 inhibitor therapy. Most patients progress on these treatments and ultimately develop resistance. At that time, patients typically live for less than two years.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female ovarian hormones estrogen and progesterone are master regulators of normal breast development and play a key role in breast cancer. Acting through ER and PR, estrogen and progesterone play complex, essential, and coordinated roles in the development of the lobular alveolar epithelial structures of the normal breast during puberty, the normal menstrual cycle, and pregnancy. It is likely that these actions become subverted in the development of breast cancer, implicating both estrogen and progesterone in the development and progression of this disease. Breast cancer is acknowledged to be a hormone-dependent disease and most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breasts express ER and/or PR. PR is expressed in humans as two major forms, progesterone receptor A (PR-A) and progesterone receptor B (PR-B), in normal cells and in certain malignant tissues. PR-A and PR-B mediate the effects of progesterone by association with a range of co-regulatory proteins and progesterone-regulated gene promoters. Over the past few decades, the estrogen receptor signaling pathway remains the most effective treatment for the management of ER+ breast cancer. Treatments include the selective estrogen receptor modulator (SERM) tamoxifen that binds to ER and prevents its activation, and aromatase inhibitors that block endogenous hormone synthesis.</w:t>
      </w:r>
    </w:p>
    <w:p>
      <w:pPr>
        <w:spacing w:after="0" w:line="17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Recent published data suggests that progesterone receptor may function as an anti-estrogen resistance mechanism. Long term exposure of cancer cells to anti-estrogens results in a complex resistance profile that limits the utility of standard of care anti-estrogen and CDK4/6 inhibitors. Mechanisms of resistance include mutations in estrogen receptor gene (</w:t>
      </w:r>
      <w:r>
        <w:rPr>
          <w:rFonts w:ascii="Arial" w:cs="Arial" w:eastAsia="Arial" w:hAnsi="Arial"/>
          <w:sz w:val="17"/>
          <w:szCs w:val="17"/>
          <w:i w:val="1"/>
          <w:iCs w:val="1"/>
          <w:color w:val="auto"/>
        </w:rPr>
        <w:t>ESR1</w:t>
      </w:r>
      <w:r>
        <w:rPr>
          <w:rFonts w:ascii="Arial" w:cs="Arial" w:eastAsia="Arial" w:hAnsi="Arial"/>
          <w:sz w:val="17"/>
          <w:szCs w:val="17"/>
          <w:color w:val="auto"/>
        </w:rPr>
        <w:t xml:space="preserve">) and ER pathway signaling (MAPK, PI3Kα, mTOR), as 20-35% of ER+,PR+,HER2-metastatic breast tumors are </w:t>
      </w:r>
      <w:r>
        <w:rPr>
          <w:rFonts w:ascii="Arial" w:cs="Arial" w:eastAsia="Arial" w:hAnsi="Arial"/>
          <w:sz w:val="17"/>
          <w:szCs w:val="17"/>
          <w:i w:val="1"/>
          <w:iCs w:val="1"/>
          <w:color w:val="auto"/>
        </w:rPr>
        <w:t>ESR1</w:t>
      </w:r>
      <w:r>
        <w:rPr>
          <w:rFonts w:ascii="Arial" w:cs="Arial" w:eastAsia="Arial" w:hAnsi="Arial"/>
          <w:sz w:val="17"/>
          <w:szCs w:val="17"/>
          <w:color w:val="auto"/>
        </w:rPr>
        <w:t xml:space="preserve"> mutated. The prevalence of resistance mutations is correlated with PR enrichment and activity. We have presented data showing that therapeutic inhibition of PR with either onapristone alone or in combination with anti-estrogens and/or CDK4/6 inhibitors results in the impaired growth or death of resistant cells.</w:t>
      </w:r>
    </w:p>
    <w:p>
      <w:pPr>
        <w:spacing w:after="0" w:line="178" w:lineRule="exact"/>
        <w:rPr>
          <w:sz w:val="20"/>
          <w:szCs w:val="20"/>
          <w:color w:val="auto"/>
        </w:rPr>
      </w:pPr>
    </w:p>
    <w:p>
      <w:pPr>
        <w:ind w:left="120" w:right="200" w:firstLine="440"/>
        <w:spacing w:after="0" w:line="270" w:lineRule="auto"/>
        <w:rPr>
          <w:sz w:val="20"/>
          <w:szCs w:val="20"/>
          <w:color w:val="auto"/>
        </w:rPr>
      </w:pPr>
      <w:r>
        <w:rPr>
          <w:rFonts w:ascii="Arial" w:cs="Arial" w:eastAsia="Arial" w:hAnsi="Arial"/>
          <w:sz w:val="17"/>
          <w:szCs w:val="17"/>
          <w:color w:val="auto"/>
        </w:rPr>
        <w:t>As shown below, estrogen receptor (</w:t>
      </w:r>
      <w:r>
        <w:rPr>
          <w:rFonts w:ascii="Arial" w:cs="Arial" w:eastAsia="Arial" w:hAnsi="Arial"/>
          <w:sz w:val="17"/>
          <w:szCs w:val="17"/>
          <w:i w:val="1"/>
          <w:iCs w:val="1"/>
          <w:color w:val="auto"/>
        </w:rPr>
        <w:t>ESR1</w:t>
      </w:r>
      <w:r>
        <w:rPr>
          <w:rFonts w:ascii="Arial" w:cs="Arial" w:eastAsia="Arial" w:hAnsi="Arial"/>
          <w:sz w:val="17"/>
          <w:szCs w:val="17"/>
          <w:color w:val="auto"/>
        </w:rPr>
        <w:t xml:space="preserve">) mutational profiles of tumor biopsies were taken before and after prolonged treatment with anti-estrogen (fulvestrant) and CDK4/6 inhibitor (palbociclib) therapy. </w:t>
      </w:r>
      <w:r>
        <w:rPr>
          <w:rFonts w:ascii="Arial" w:cs="Arial" w:eastAsia="Arial" w:hAnsi="Arial"/>
          <w:sz w:val="17"/>
          <w:szCs w:val="17"/>
          <w:i w:val="1"/>
          <w:iCs w:val="1"/>
          <w:color w:val="auto"/>
        </w:rPr>
        <w:t>ESR1</w:t>
      </w:r>
      <w:r>
        <w:rPr>
          <w:rFonts w:ascii="Arial" w:cs="Arial" w:eastAsia="Arial" w:hAnsi="Arial"/>
          <w:sz w:val="14"/>
          <w:szCs w:val="14"/>
          <w:i w:val="1"/>
          <w:iCs w:val="1"/>
          <w:color w:val="auto"/>
        </w:rPr>
        <w:t>Y537S</w:t>
      </w:r>
      <w:r>
        <w:rPr>
          <w:rFonts w:ascii="Arial" w:cs="Arial" w:eastAsia="Arial" w:hAnsi="Arial"/>
          <w:sz w:val="17"/>
          <w:szCs w:val="17"/>
          <w:color w:val="auto"/>
        </w:rPr>
        <w:t xml:space="preserve"> mutations are enriched by the end of therapy and are associated with worse outcomes in patients. To determine the effect of </w:t>
      </w:r>
      <w:r>
        <w:rPr>
          <w:rFonts w:ascii="Arial" w:cs="Arial" w:eastAsia="Arial" w:hAnsi="Arial"/>
          <w:sz w:val="17"/>
          <w:szCs w:val="17"/>
          <w:i w:val="1"/>
          <w:iCs w:val="1"/>
          <w:color w:val="auto"/>
        </w:rPr>
        <w:t>ESR1</w:t>
      </w:r>
      <w:r>
        <w:rPr>
          <w:rFonts w:ascii="Arial" w:cs="Arial" w:eastAsia="Arial" w:hAnsi="Arial"/>
          <w:sz w:val="17"/>
          <w:szCs w:val="17"/>
          <w:color w:val="auto"/>
        </w:rPr>
        <w:t xml:space="preserve"> mutations, wild type (</w:t>
      </w:r>
      <w:r>
        <w:rPr>
          <w:rFonts w:ascii="Arial" w:cs="Arial" w:eastAsia="Arial" w:hAnsi="Arial"/>
          <w:sz w:val="17"/>
          <w:szCs w:val="17"/>
          <w:i w:val="1"/>
          <w:iCs w:val="1"/>
          <w:color w:val="auto"/>
        </w:rPr>
        <w:t>ESR1</w:t>
      </w:r>
      <w:r>
        <w:rPr>
          <w:rFonts w:ascii="Arial" w:cs="Arial" w:eastAsia="Arial" w:hAnsi="Arial"/>
          <w:sz w:val="17"/>
          <w:szCs w:val="17"/>
          <w:color w:val="auto"/>
        </w:rPr>
        <w:t>) and mutant (</w:t>
      </w:r>
      <w:r>
        <w:rPr>
          <w:rFonts w:ascii="Arial" w:cs="Arial" w:eastAsia="Arial" w:hAnsi="Arial"/>
          <w:sz w:val="17"/>
          <w:szCs w:val="17"/>
          <w:i w:val="1"/>
          <w:iCs w:val="1"/>
          <w:color w:val="auto"/>
        </w:rPr>
        <w:t>ESR1</w:t>
      </w:r>
      <w:r>
        <w:rPr>
          <w:rFonts w:ascii="Arial" w:cs="Arial" w:eastAsia="Arial" w:hAnsi="Arial"/>
          <w:sz w:val="14"/>
          <w:szCs w:val="14"/>
          <w:i w:val="1"/>
          <w:iCs w:val="1"/>
          <w:color w:val="auto"/>
        </w:rPr>
        <w:t>Y537S</w:t>
      </w:r>
      <w:r>
        <w:rPr>
          <w:rFonts w:ascii="Arial" w:cs="Arial" w:eastAsia="Arial" w:hAnsi="Arial"/>
          <w:sz w:val="17"/>
          <w:szCs w:val="17"/>
          <w:color w:val="auto"/>
        </w:rPr>
        <w:t xml:space="preserve"> and </w:t>
      </w:r>
      <w:r>
        <w:rPr>
          <w:rFonts w:ascii="Arial" w:cs="Arial" w:eastAsia="Arial" w:hAnsi="Arial"/>
          <w:sz w:val="17"/>
          <w:szCs w:val="17"/>
          <w:i w:val="1"/>
          <w:iCs w:val="1"/>
          <w:color w:val="auto"/>
        </w:rPr>
        <w:t>ESR1</w:t>
      </w:r>
      <w:r>
        <w:rPr>
          <w:rFonts w:ascii="Arial" w:cs="Arial" w:eastAsia="Arial" w:hAnsi="Arial"/>
          <w:sz w:val="14"/>
          <w:szCs w:val="14"/>
          <w:i w:val="1"/>
          <w:iCs w:val="1"/>
          <w:color w:val="auto"/>
        </w:rPr>
        <w:t>Y537N</w:t>
      </w:r>
      <w:r>
        <w:rPr>
          <w:rFonts w:ascii="Arial" w:cs="Arial" w:eastAsia="Arial" w:hAnsi="Arial"/>
          <w:sz w:val="17"/>
          <w:szCs w:val="17"/>
          <w:color w:val="auto"/>
        </w:rPr>
        <w:t xml:space="preserve">) estrogen receptors were overexpressed in the T47D breast cancer cell line. The orange box denotes that both the PR-A and PR-B isoforms of progesterone receptor demonstrated increased expression upon exposure to the mutant form of </w:t>
      </w:r>
      <w:r>
        <w:rPr>
          <w:rFonts w:ascii="Arial" w:cs="Arial" w:eastAsia="Arial" w:hAnsi="Arial"/>
          <w:sz w:val="17"/>
          <w:szCs w:val="17"/>
          <w:i w:val="1"/>
          <w:iCs w:val="1"/>
          <w:color w:val="auto"/>
        </w:rPr>
        <w:t>ESR1</w:t>
      </w:r>
      <w:r>
        <w:rPr>
          <w:rFonts w:ascii="Arial" w:cs="Arial" w:eastAsia="Arial" w:hAnsi="Arial"/>
          <w:sz w:val="17"/>
          <w:szCs w:val="17"/>
          <w:color w:val="auto"/>
        </w:rPr>
        <w:t xml:space="preserve">. The increased expression of PR was found to be correlated with enhanced PR activity. To establish that </w:t>
      </w:r>
      <w:r>
        <w:rPr>
          <w:rFonts w:ascii="Arial" w:cs="Arial" w:eastAsia="Arial" w:hAnsi="Arial"/>
          <w:sz w:val="17"/>
          <w:szCs w:val="17"/>
          <w:i w:val="1"/>
          <w:iCs w:val="1"/>
          <w:color w:val="auto"/>
        </w:rPr>
        <w:t>ESR1</w:t>
      </w:r>
      <w:r>
        <w:rPr>
          <w:rFonts w:ascii="Arial" w:cs="Arial" w:eastAsia="Arial" w:hAnsi="Arial"/>
          <w:sz w:val="14"/>
          <w:szCs w:val="14"/>
          <w:i w:val="1"/>
          <w:iCs w:val="1"/>
          <w:color w:val="auto"/>
        </w:rPr>
        <w:t>Y537S</w:t>
      </w:r>
      <w:r>
        <w:rPr>
          <w:rFonts w:ascii="Arial" w:cs="Arial" w:eastAsia="Arial" w:hAnsi="Arial"/>
          <w:sz w:val="17"/>
          <w:szCs w:val="17"/>
          <w:color w:val="auto"/>
        </w:rPr>
        <w:t xml:space="preserve"> cells require PR for growth and dual ER-PR inhibition (i.e., complete hormone blockade) results in growth inhibition,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organoid model was conducted using the rapidly proliferating, CDK4/6 inhibitor resistant WHIM20 cell line. Organoid data demonstrates that dual blockade of ER and PR via treatment with fulvestrant and onapristone results in growth inhibition in a cell model that is intended to mimic human disease.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Role of PR in </w:t>
      </w:r>
      <w:r>
        <w:rPr>
          <w:rFonts w:ascii="Arial" w:cs="Arial" w:eastAsia="Arial" w:hAnsi="Arial"/>
          <w:sz w:val="18"/>
          <w:szCs w:val="18"/>
          <w:b w:val="1"/>
          <w:bCs w:val="1"/>
          <w:i w:val="1"/>
          <w:iCs w:val="1"/>
          <w:color w:val="auto"/>
        </w:rPr>
        <w:t>ESR1</w:t>
      </w:r>
      <w:r>
        <w:rPr>
          <w:rFonts w:ascii="Arial" w:cs="Arial" w:eastAsia="Arial" w:hAnsi="Arial"/>
          <w:sz w:val="18"/>
          <w:szCs w:val="18"/>
          <w:b w:val="1"/>
          <w:bCs w:val="1"/>
          <w:color w:val="auto"/>
        </w:rPr>
        <w:t xml:space="preserv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11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860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Source: Reprinted from Cancer Cell, Razavi et al, The Genomic Landscape of Endocrine-Resistant Advanced Breast Cancers, Copyright 2018. Reprinted with permission from British Journal of Cancer, Lopez-Knowles et al, Molecular characterisation of aromatase inhibitor-resistant advanced breast cancer: the phenotypic effect of ESR1 mutations, Copyright 2018. Reprinted with permission from Nature Springer.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Resistance to hormone-dependent gynecologic cancer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Gynecologic cancer overview</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Ovarian and endometrial cancer represent the majority of gynecologic cancers. It is estimated that there are more than 22,000 new cases of ovarian cancer and 61,000 new cases of endometrial cancer annually, resulting in14,000 ovarian and 12,000 endometrial deaths in the United States (US) every year. As of 2019, it is estimated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that there are 235,000 patients living with ovarian cancer and over 770,000 patients living with endometrial cancer in the US. By applying PR positivity (PR+) rates to the 2019 prevalence count, it is estimated that there are 300,000 patients with recurrent gynecologic cancer in the US, 130,000 of whom are PR+.</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Maximal surgical debulking and platinum chemotherapy are the cornerstone treatments for primary gynecologic cancer. The aim of surgery is to confirm diagnosis, define extent of disease spread (staging), and resect all visible tumor tissue. The goal of cytoreductive surgery is removal of the entire tumor burden to achieve either complete removal of the tumor upon visual inspection (complete cytoreductive surgery) or a residual tumor of &lt; 1 cm (optimal cytoreductive surgery). Even centers experienced in ovarian tumor cytoreductive surgery achieve optimal resection in only 50% of patients. Patients with incomplete/suboptimal cytoreductive surgery are at a significantly higher risk of recurrence and poor prognosis.</w:t>
      </w:r>
    </w:p>
    <w:p>
      <w:pPr>
        <w:spacing w:after="0" w:line="17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Following primary treatment for gynecologic cancer, the relapse rate is approximately 20-25% for early-stage disease and 70% for advanced (spread beyond primary site) disease. The survival curve after recurrence never plateaus, which means that the goal of treatment for recurrent gynecologic cancer is controlling the disease and disease-related symptoms, limiting treatment-related toxicity, and maintaining or improving quality of life. Primary or secondary resistance is the main cause for diminished effectiveness over time of platinum-based chemotherapy, contributing to the dismal outcome of advanced patients whose 5-year survival rate is less than 30%. Patients who are hormone receptor positive will often receive anti-estrogen therapy in the recurrent setting; however, anti-estrogen efficacy is modest in this setting. In general, treatment of recurrent disease is palliative and is initiated with the goals of controlling disease-related symptoms, limiting treatment-related toxicity, maintaining or improving quality of life, delaying time to progression, and prolonging survival.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Illustrative hormone-dependent gynecologic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8460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Why Such a Therapy is Needed</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Cytoreductive surgery followed by combination platinum and taxane chemotherapy is the first-line treatment for most gynecologic cancer patients regardless of type. Outside of DNA repair deficient high grade serous ovarian cancer, there are limited treatment options for all other forms of ovarian and endometrial cancer. Given the above-mentioned 5-year survival rate of less than 30%, there is a critical need to identify a targeted treatment in the recurrent setting. Ovarian and endometrial cancer remains a serious, life threatening, unmet medical need, resulting in more than 26,000 estimated deaths in the US every year.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 in Endometrial Cancer</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Progesterone receptor (PR)-targeted therapies are modestly active in patients with endometrial cancer, which may be attributed to an evolving understanding of the underlying molecular mechanisms of PR-targeted therapies for this disease. In the normal endometrium, estrogen drives proliferation of the endometrial glandular epithelium, whereas progesterone counteracts the effects of estrogen. Progesterone acts by binding to the PR and has a dual role through both genomic and nongenomic pathways. Anti-progestins such as onapristone have recently been shown to be efficacious in mouse models of uterine cancer, suggesting that PR blockade may be an effective approach for treating uterine cancer.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PR in endometrial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577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8604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Source: Reprinted from Molecular Cancer Therapeutics, Huang et al, Inhibiting Nuclear Phospho-Progesterone Receptor Enhances Antitumor Activity of Onapristone in Uterine Cancer, Copyright 2017. Reprinted with permission from Elsevier.</w:t>
      </w:r>
    </w:p>
    <w:p>
      <w:pPr>
        <w:spacing w:after="0" w:line="6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Note: In vivo effect of onapristone, trametinib, and the combination of both drugs on tumor weight, number of tumor nodules, and body weight. Error bars indicate the SEM; *, </w:t>
      </w:r>
      <w:r>
        <w:rPr>
          <w:rFonts w:ascii="Arial" w:cs="Arial" w:eastAsia="Arial" w:hAnsi="Arial"/>
          <w:sz w:val="18"/>
          <w:szCs w:val="18"/>
          <w:i w:val="1"/>
          <w:iCs w:val="1"/>
          <w:color w:val="auto"/>
        </w:rPr>
        <w:t>P</w:t>
      </w:r>
      <w:r>
        <w:rPr>
          <w:rFonts w:ascii="Arial" w:cs="Arial" w:eastAsia="Arial" w:hAnsi="Arial"/>
          <w:sz w:val="18"/>
          <w:szCs w:val="18"/>
          <w:color w:val="auto"/>
        </w:rPr>
        <w:t xml:space="preserve"> &lt; 0.05.</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It has been reported that mitogen-activated protein kinases (MAPK) play a dual role in PR subcellular trafficking and aid in the rapid nuclear association of PR via Serine 294 (S294) phosphorylation in response to growth factors and in response to ligand (i.e., progesterone). In Huang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2017, PR+ endometrial cancer cells were implanted in mice and upon tumor engraftment were treated with onapristone and/or trametinib, a MEK inhibitor. If progesterone receptor does coordinate endometrial cancer response through MAPK via MEK signaling, then the MEK inhibitor, trametinib, should be anticipated to enhance onapristone sensitivity through blocking the nuclear translocation of phosphorylated PR. The study demonstrates that PR+ endometrial xenografts are sensitive to both onapristone and trametinib alone, and exhibit synergy when combined, indicating a rationale to develop onapristone alone or in combination with a MEK inhibitor for PR+ endometrial cancer.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 in Ovarian cancer</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Progesterone and progesterone receptors (PR) are increasingly gaining attention for their emerging role as critical regulators of breast, ovarian, and endometrial cancer. Progesterone is a steroid hormone that is produced primarily by the corpus luteum in the ovaries during the second half of the menstrual cycle or luteal phase. Cyclical hormone exposure beginning at menarche and ending in menopause occurs monthly and regulates the growth and differentiation of specialized tissues within the reproductive tract and breast tissues. Until recently, little was known about the relative distribution of PR within the subtypes of ovarian tumors. In a cohort of 504 ovarian tumors, Diep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(2013) reported that 35% of the tumors were progesterone receptor-positive (PR+) and that PR expression is associated with better outcomes, indicating a potential role for hormone therapy in PR+ ovarian cancer. Importantly, several subtypes were found to be highly enriched for PR. Retrospective studies evaluating the association of total PR expression and progression-free disease survival support the concept that subsets of PR+ ovarian tumors are highly sensitive to hormones and thus more likely to respond to endocrine therapy.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of extended release formulation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Precedent Formulation – Onapristone IR (ONA-IR)</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Onapristone was originally developed in an immediate release or “IR” form (onapristone IR; ONA-IR). ONA-IR was first evaluated as an oral contraceptive and was dosed up to 400 mg/day for periods of 7 days during single ovulatory cycles in healthy female subjects. Later, ONA-IR 100 mg/day was administered for periods exceeding 12 months in breast cancer studies. Discontinuation of ONA-IR development by the original sponsor, Schering AG, is thought to have been due to the observation of liver test abnormalities and the perceived risk of drug-induced liver injury (DILI) during a Phase 2 study of ONA-IR as first line therapy in breast cancer subjects. Liver test elevations were considered a concern for the planned contraception and benign gynecological indications (e.g., uterine fibroids, endometriosis). However, renewed interest in anti-progestin therapy for PR-positive malignancies has led to the consideration of new strategies for reducing potential hepatotoxic effects of onapristone.</w:t>
      </w:r>
    </w:p>
    <w:p>
      <w:pPr>
        <w:spacing w:after="0" w:line="17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developing new strategies for anti-progestin use, one consideration is that mifepristone, ulipristal, telapristone, and onapristone all contain a 17-carbon steroid ring structure that is typical of steroids. Anti-progestins with steroidal cores often display significant cross-reactivity with closely related steroid receptors, namely, androgen receptor (AR), glucocorticoid receptor (GR), and mineralocorticoid receptor (MR). This functional overlap is partly responsible for the side effects linked with the steroidal drugs, which themselves carry a potential DILI risk. Because onapristone binds to GRs less efficiently than to PRs, one strategy to minimize liver test elevations was to seek a new onapristone formulation that yielded steady state pharmacokinetic (PK) parameters where: (a) C</w:t>
      </w:r>
      <w:r>
        <w:rPr>
          <w:rFonts w:ascii="Arial" w:cs="Arial" w:eastAsia="Arial" w:hAnsi="Arial"/>
          <w:sz w:val="13"/>
          <w:szCs w:val="13"/>
          <w:color w:val="auto"/>
        </w:rPr>
        <w:t>max</w:t>
      </w:r>
      <w:r>
        <w:rPr>
          <w:rFonts w:ascii="Arial" w:cs="Arial" w:eastAsia="Arial" w:hAnsi="Arial"/>
          <w:sz w:val="16"/>
          <w:szCs w:val="16"/>
          <w:color w:val="auto"/>
        </w:rPr>
        <w:t xml:space="preserve"> is lower than the C</w:t>
      </w:r>
      <w:r>
        <w:rPr>
          <w:rFonts w:ascii="Arial" w:cs="Arial" w:eastAsia="Arial" w:hAnsi="Arial"/>
          <w:sz w:val="13"/>
          <w:szCs w:val="13"/>
          <w:color w:val="auto"/>
        </w:rPr>
        <w:t>max</w:t>
      </w:r>
      <w:r>
        <w:rPr>
          <w:rFonts w:ascii="Arial" w:cs="Arial" w:eastAsia="Arial" w:hAnsi="Arial"/>
          <w:sz w:val="16"/>
          <w:szCs w:val="16"/>
          <w:color w:val="auto"/>
        </w:rPr>
        <w:t xml:space="preserve"> associated with ONA-IR 100mg QD (to target a reduced risk for LFT elevations); and (b) C</w:t>
      </w:r>
      <w:r>
        <w:rPr>
          <w:rFonts w:ascii="Arial" w:cs="Arial" w:eastAsia="Arial" w:hAnsi="Arial"/>
          <w:sz w:val="13"/>
          <w:szCs w:val="13"/>
          <w:color w:val="auto"/>
        </w:rPr>
        <w:t>min</w:t>
      </w:r>
      <w:r>
        <w:rPr>
          <w:rFonts w:ascii="Arial" w:cs="Arial" w:eastAsia="Arial" w:hAnsi="Arial"/>
          <w:sz w:val="16"/>
          <w:szCs w:val="16"/>
          <w:color w:val="auto"/>
        </w:rPr>
        <w:t xml:space="preserve"> is at least approximately equal to the C</w:t>
      </w:r>
      <w:r>
        <w:rPr>
          <w:rFonts w:ascii="Arial" w:cs="Arial" w:eastAsia="Arial" w:hAnsi="Arial"/>
          <w:sz w:val="13"/>
          <w:szCs w:val="13"/>
          <w:color w:val="auto"/>
        </w:rPr>
        <w:t>min</w:t>
      </w:r>
      <w:r>
        <w:rPr>
          <w:rFonts w:ascii="Arial" w:cs="Arial" w:eastAsia="Arial" w:hAnsi="Arial"/>
          <w:sz w:val="16"/>
          <w:szCs w:val="16"/>
          <w:color w:val="auto"/>
        </w:rPr>
        <w:t xml:space="preserve"> associated ONA-IR 100mg QD (to target at least equivalent, sustained suppression of PR activity). Various formulation strategies were evaluated and a 50mg, BID (twice-daily), extended release tablet (onapristone XR; ONA-XR) was selected to be the second-generation dosage form for the clinical evaluation of onapristone in PR-positive cancers.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Pharmacokinetic and Phase 1 safety data suggest improved tolerability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339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860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Source: Reprinted from Drug Safety, Lewis et al, Onapristone Extended Release: Safety Evaluation from Phase I–II Studies with an Emphasis on Hepatotoxicity, Copyright 2020. Reprinted with permission from Nature Springer.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Novel Formulation – Onapristone XR</w:t>
      </w:r>
    </w:p>
    <w:p>
      <w:pPr>
        <w:spacing w:after="0" w:line="117"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 xml:space="preserve">Pharmacokinetic (PK) parameters for ONA-IR 100mg QD and ONA-XR 50mg BID were previously evaluated within a dose escalation component of a Phase 1-2 clinical study in female subjects with endometrial carcinoma, breast cancer or ovarian cancer. This study (Cottu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2018) reported that ONA-XR showed “Clinical benefit with excellent tolerance”, while defining a recommended phase 2 dose level of ONA-XR of 50mg, BID. The PK dataset from this clinical study enabled a direct comparison between C</w:t>
      </w:r>
      <w:r>
        <w:rPr>
          <w:rFonts w:ascii="Arial" w:cs="Arial" w:eastAsia="Arial" w:hAnsi="Arial"/>
          <w:sz w:val="13"/>
          <w:szCs w:val="13"/>
          <w:color w:val="auto"/>
        </w:rPr>
        <w:t>max</w:t>
      </w:r>
      <w:r>
        <w:rPr>
          <w:rFonts w:ascii="Arial" w:cs="Arial" w:eastAsia="Arial" w:hAnsi="Arial"/>
          <w:sz w:val="16"/>
          <w:szCs w:val="16"/>
          <w:color w:val="auto"/>
        </w:rPr>
        <w:t xml:space="preserve"> and C</w:t>
      </w:r>
      <w:r>
        <w:rPr>
          <w:rFonts w:ascii="Arial" w:cs="Arial" w:eastAsia="Arial" w:hAnsi="Arial"/>
          <w:sz w:val="13"/>
          <w:szCs w:val="13"/>
          <w:color w:val="auto"/>
        </w:rPr>
        <w:t>min</w:t>
      </w:r>
      <w:r>
        <w:rPr>
          <w:rFonts w:ascii="Arial" w:cs="Arial" w:eastAsia="Arial" w:hAnsi="Arial"/>
          <w:sz w:val="16"/>
          <w:szCs w:val="16"/>
          <w:color w:val="auto"/>
        </w:rPr>
        <w:t xml:space="preserve"> for ONA-IR 100mg QD and ONA-XR 50mg BID. Steady-state pharmacokinetics of ONA were estimated using standard noncompartmental methods and the nonparametric superposition tool in Phoenix WinNonlin version 8.3 (Certara Inc., Princeton, NJ). These methods assume linear pharmacokinetics from the first dose to steady state. Dosing with</w:t>
      </w:r>
    </w:p>
    <w:p>
      <w:pPr>
        <w:spacing w:after="0" w:line="4" w:lineRule="exact"/>
        <w:rPr>
          <w:sz w:val="20"/>
          <w:szCs w:val="20"/>
          <w:color w:val="auto"/>
        </w:rPr>
      </w:pPr>
    </w:p>
    <w:p>
      <w:pPr>
        <w:ind w:left="120" w:right="220"/>
        <w:spacing w:after="0" w:line="281" w:lineRule="auto"/>
        <w:rPr>
          <w:sz w:val="20"/>
          <w:szCs w:val="20"/>
          <w:color w:val="auto"/>
        </w:rPr>
      </w:pPr>
      <w:r>
        <w:rPr>
          <w:rFonts w:ascii="Arial" w:cs="Arial" w:eastAsia="Arial" w:hAnsi="Arial"/>
          <w:sz w:val="16"/>
          <w:szCs w:val="16"/>
          <w:color w:val="auto"/>
        </w:rPr>
        <w:t>ONA-XR 50mg BID resulted in a steady-state C</w:t>
      </w:r>
      <w:r>
        <w:rPr>
          <w:rFonts w:ascii="Arial" w:cs="Arial" w:eastAsia="Arial" w:hAnsi="Arial"/>
          <w:sz w:val="13"/>
          <w:szCs w:val="13"/>
          <w:color w:val="auto"/>
        </w:rPr>
        <w:t>max</w:t>
      </w:r>
      <w:r>
        <w:rPr>
          <w:rFonts w:ascii="Arial" w:cs="Arial" w:eastAsia="Arial" w:hAnsi="Arial"/>
          <w:sz w:val="16"/>
          <w:szCs w:val="16"/>
          <w:color w:val="auto"/>
        </w:rPr>
        <w:t xml:space="preserve"> almost 3 times lower than the C</w:t>
      </w:r>
      <w:r>
        <w:rPr>
          <w:rFonts w:ascii="Arial" w:cs="Arial" w:eastAsia="Arial" w:hAnsi="Arial"/>
          <w:sz w:val="13"/>
          <w:szCs w:val="13"/>
          <w:color w:val="auto"/>
        </w:rPr>
        <w:t>max</w:t>
      </w:r>
      <w:r>
        <w:rPr>
          <w:rFonts w:ascii="Arial" w:cs="Arial" w:eastAsia="Arial" w:hAnsi="Arial"/>
          <w:sz w:val="16"/>
          <w:szCs w:val="16"/>
          <w:color w:val="auto"/>
        </w:rPr>
        <w:t xml:space="preserve"> for ONA-IR 100mg QD, while the steady-state C</w:t>
      </w:r>
      <w:r>
        <w:rPr>
          <w:rFonts w:ascii="Arial" w:cs="Arial" w:eastAsia="Arial" w:hAnsi="Arial"/>
          <w:sz w:val="13"/>
          <w:szCs w:val="13"/>
          <w:color w:val="auto"/>
        </w:rPr>
        <w:t>min</w:t>
      </w:r>
      <w:r>
        <w:rPr>
          <w:rFonts w:ascii="Arial" w:cs="Arial" w:eastAsia="Arial" w:hAnsi="Arial"/>
          <w:sz w:val="16"/>
          <w:szCs w:val="16"/>
          <w:color w:val="auto"/>
        </w:rPr>
        <w:t xml:space="preserve"> for both formulations were similar: 829 ng/mL versus 790 ng/mL for ONA-IR versus ONA-XR, respectively. The findings of the Phase 1-2 PK and safety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evaluation support that the recently developed, extended release form of onapristone appears to have achieved the PK goals of the formulation exercise.</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Completed clinical trials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initial IR formulation (ONA-IR), developed by Schering AG at various strengths, was dosed up to 400 mg/day in healthy volunteers and 100 mg/day for periods exceeding six months in oncology studies. Arno Therapeutics (Cranbury, NJ) subsequently developed onapristone extended release (“ONA-XR”) formulation and administered it in doses of 10, 20, 30, 40 and 50 mg ONA-XR BID for up to 52 weeks. We acquired ONA-XR from Arno Therapeutics. There are no associated future payments due to Arno.</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clinical trials evaluating onapristone with IR or XR formulation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Prior</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Patients</w:t>
            </w:r>
          </w:p>
        </w:tc>
        <w:tc>
          <w:tcPr>
            <w:tcW w:w="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Treatments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Antiprogestin</w:t>
            </w:r>
          </w:p>
        </w:tc>
        <w:tc>
          <w:tcPr>
            <w:tcW w:w="60" w:type="dxa"/>
            <w:vAlign w:val="bottom"/>
          </w:tcPr>
          <w:p>
            <w:pPr>
              <w:spacing w:after="0"/>
              <w:rPr>
                <w:sz w:val="12"/>
                <w:szCs w:val="12"/>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Stage</w:t>
            </w: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Clinical Indication</w:t>
            </w:r>
          </w:p>
        </w:tc>
        <w:tc>
          <w:tcPr>
            <w:tcW w:w="100" w:type="dxa"/>
            <w:vAlign w:val="bottom"/>
          </w:tcPr>
          <w:p>
            <w:pPr>
              <w:spacing w:after="0"/>
              <w:rPr>
                <w:sz w:val="12"/>
                <w:szCs w:val="12"/>
                <w:color w:val="auto"/>
              </w:rPr>
            </w:pPr>
          </w:p>
        </w:tc>
        <w:tc>
          <w:tcPr>
            <w:tcW w:w="6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9"/>
              </w:rPr>
              <w:t>Median</w:t>
            </w:r>
          </w:p>
        </w:tc>
        <w:tc>
          <w:tcPr>
            <w:tcW w:w="6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Biomarker</w:t>
            </w:r>
          </w:p>
        </w:tc>
        <w:tc>
          <w:tcPr>
            <w:tcW w:w="360" w:type="dxa"/>
            <w:vAlign w:val="bottom"/>
          </w:tcPr>
          <w:p>
            <w:pPr>
              <w:spacing w:after="0"/>
              <w:rPr>
                <w:sz w:val="12"/>
                <w:szCs w:val="12"/>
                <w:color w:val="auto"/>
              </w:rPr>
            </w:pPr>
          </w:p>
        </w:tc>
        <w:tc>
          <w:tcPr>
            <w:tcW w:w="20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Data</w:t>
            </w:r>
          </w:p>
        </w:tc>
        <w:tc>
          <w:tcPr>
            <w:tcW w:w="60" w:type="dxa"/>
            <w:vAlign w:val="bottom"/>
          </w:tcPr>
          <w:p>
            <w:pPr>
              <w:spacing w:after="0"/>
              <w:rPr>
                <w:sz w:val="12"/>
                <w:szCs w:val="12"/>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158"/>
        </w:trPr>
        <w:tc>
          <w:tcPr>
            <w:tcW w:w="12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(n)</w:t>
            </w:r>
          </w:p>
        </w:tc>
        <w:tc>
          <w:tcPr>
            <w:tcW w:w="80" w:type="dxa"/>
            <w:vAlign w:val="bottom"/>
          </w:tcPr>
          <w:p>
            <w:pPr>
              <w:spacing w:after="0"/>
              <w:rPr>
                <w:sz w:val="13"/>
                <w:szCs w:val="13"/>
                <w:color w:val="auto"/>
              </w:rPr>
            </w:pPr>
          </w:p>
        </w:tc>
        <w:tc>
          <w:tcPr>
            <w:tcW w:w="3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w w:val="92"/>
              </w:rPr>
              <w:t>(Range)</w:t>
            </w: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Onapristone IR</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Phase 2</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Breast Cancer</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Hormone</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56%</w:t>
            </w:r>
          </w:p>
        </w:tc>
        <w:tc>
          <w:tcPr>
            <w:tcW w:w="2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ORR</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rPr>
              <w:t>Robertson 1999</w:t>
            </w: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(100mg QD)</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Locally Advanced or Metastatic</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naïve</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17.5-month DoR 67% CBR</w:t>
            </w: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 month PFS</w:t>
            </w: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gridSpan w:val="2"/>
          </w:tcPr>
          <w:p>
            <w:pPr>
              <w:spacing w:after="0"/>
              <w:rPr>
                <w:sz w:val="20"/>
                <w:szCs w:val="20"/>
                <w:color w:val="auto"/>
              </w:rPr>
            </w:pPr>
            <w:r>
              <w:rPr>
                <w:rFonts w:ascii="Arial" w:cs="Arial" w:eastAsia="Arial" w:hAnsi="Arial"/>
                <w:sz w:val="18"/>
                <w:szCs w:val="18"/>
                <w:color w:val="auto"/>
              </w:rPr>
              <w:t>Onapristone IR</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Phase 2</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101</w:t>
            </w: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Breast Cancer</w:t>
            </w: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620" w:type="dxa"/>
            <w:vAlign w:val="bottom"/>
          </w:tcPr>
          <w:p>
            <w:pPr>
              <w:ind w:lef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4"/>
              </w:rPr>
              <w:t>10%</w:t>
            </w:r>
          </w:p>
        </w:tc>
        <w:tc>
          <w:tcPr>
            <w:tcW w:w="2020" w:type="dxa"/>
            <w:vAlign w:val="bottom"/>
          </w:tcPr>
          <w:p>
            <w:pPr>
              <w:ind w:left="20"/>
              <w:spacing w:after="0"/>
              <w:rPr>
                <w:sz w:val="20"/>
                <w:szCs w:val="20"/>
                <w:color w:val="auto"/>
              </w:rPr>
            </w:pPr>
            <w:r>
              <w:rPr>
                <w:rFonts w:ascii="Arial" w:cs="Arial" w:eastAsia="Arial" w:hAnsi="Arial"/>
                <w:sz w:val="18"/>
                <w:szCs w:val="18"/>
                <w:color w:val="auto"/>
              </w:rPr>
              <w:t>ORR</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Jonat 2002</w:t>
            </w: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(100mg QD)</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Metastatic</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48% CBR</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4.0 month PFS</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Onapristone XR</w:t>
            </w:r>
          </w:p>
        </w:tc>
        <w:tc>
          <w:tcPr>
            <w:tcW w:w="8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Phase 2</w:t>
            </w:r>
          </w:p>
        </w:tc>
        <w:tc>
          <w:tcPr>
            <w:tcW w:w="5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14</w:t>
            </w:r>
          </w:p>
        </w:tc>
        <w:tc>
          <w:tcPr>
            <w:tcW w:w="3340" w:type="dxa"/>
            <w:vAlign w:val="bottom"/>
            <w:gridSpan w:val="4"/>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Granulosa Cell Tumor of Ovary Metastatic 4</w:t>
            </w:r>
          </w:p>
        </w:tc>
        <w:tc>
          <w:tcPr>
            <w:tcW w:w="6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(2-17)</w:t>
            </w:r>
          </w:p>
        </w:tc>
        <w:tc>
          <w:tcPr>
            <w:tcW w:w="80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PR+</w:t>
            </w:r>
          </w:p>
        </w:tc>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*57% DCR</w:t>
            </w:r>
          </w:p>
        </w:tc>
        <w:tc>
          <w:tcPr>
            <w:tcW w:w="1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44"/>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(50mg BID)</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6-month PFS</w:t>
            </w:r>
          </w:p>
        </w:tc>
        <w:tc>
          <w:tcPr>
            <w:tcW w:w="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240" w:type="dxa"/>
            <w:vAlign w:val="bottom"/>
            <w:gridSpan w:val="2"/>
          </w:tcPr>
          <w:p>
            <w:pPr>
              <w:spacing w:after="0"/>
              <w:rPr>
                <w:sz w:val="20"/>
                <w:szCs w:val="20"/>
                <w:color w:val="auto"/>
              </w:rPr>
            </w:pPr>
            <w:r>
              <w:rPr>
                <w:rFonts w:ascii="Arial" w:cs="Arial" w:eastAsia="Arial" w:hAnsi="Arial"/>
                <w:sz w:val="18"/>
                <w:szCs w:val="18"/>
                <w:color w:val="auto"/>
              </w:rPr>
              <w:t>Onapristone IR</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85"/>
              </w:rPr>
              <w:t>Phase 1b/2</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36</w:t>
            </w: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Castrate Resistant Prostate Cancer</w:t>
            </w:r>
          </w:p>
        </w:tc>
        <w:tc>
          <w:tcPr>
            <w:tcW w:w="100" w:type="dxa"/>
            <w:vAlign w:val="bottom"/>
          </w:tcPr>
          <w:p>
            <w:pPr>
              <w:spacing w:after="0"/>
              <w:rPr>
                <w:sz w:val="20"/>
                <w:szCs w:val="20"/>
                <w:color w:val="auto"/>
              </w:rPr>
            </w:pPr>
            <w:r>
              <w:rPr>
                <w:rFonts w:ascii="Arial" w:cs="Arial" w:eastAsia="Arial" w:hAnsi="Arial"/>
                <w:sz w:val="18"/>
                <w:szCs w:val="18"/>
                <w:color w:val="auto"/>
                <w:w w:val="79"/>
              </w:rPr>
              <w:t>2</w:t>
            </w:r>
          </w:p>
        </w:tc>
        <w:tc>
          <w:tcPr>
            <w:tcW w:w="620" w:type="dxa"/>
            <w:vAlign w:val="bottom"/>
          </w:tcPr>
          <w:p>
            <w:pPr>
              <w:ind w:left="40"/>
              <w:spacing w:after="0"/>
              <w:rPr>
                <w:sz w:val="20"/>
                <w:szCs w:val="20"/>
                <w:color w:val="auto"/>
              </w:rPr>
            </w:pPr>
            <w:r>
              <w:rPr>
                <w:rFonts w:ascii="Arial" w:cs="Arial" w:eastAsia="Arial" w:hAnsi="Arial"/>
                <w:sz w:val="18"/>
                <w:szCs w:val="18"/>
                <w:color w:val="auto"/>
              </w:rPr>
              <w:t>(1-4)</w:t>
            </w:r>
          </w:p>
        </w:tc>
        <w:tc>
          <w:tcPr>
            <w:tcW w:w="800" w:type="dxa"/>
            <w:vAlign w:val="bottom"/>
            <w:gridSpan w:val="3"/>
          </w:tcPr>
          <w:p>
            <w:pPr>
              <w:ind w:left="60"/>
              <w:spacing w:after="0"/>
              <w:rPr>
                <w:sz w:val="20"/>
                <w:szCs w:val="20"/>
                <w:color w:val="auto"/>
              </w:rPr>
            </w:pPr>
            <w:r>
              <w:rPr>
                <w:rFonts w:ascii="Arial" w:cs="Arial" w:eastAsia="Arial" w:hAnsi="Arial"/>
                <w:sz w:val="18"/>
                <w:szCs w:val="18"/>
                <w:color w:val="auto"/>
              </w:rPr>
              <w:t>PR+</w:t>
            </w:r>
          </w:p>
        </w:tc>
        <w:tc>
          <w:tcPr>
            <w:tcW w:w="2380" w:type="dxa"/>
            <w:vAlign w:val="bottom"/>
            <w:gridSpan w:val="2"/>
          </w:tcPr>
          <w:p>
            <w:pPr>
              <w:spacing w:after="0"/>
              <w:rPr>
                <w:sz w:val="20"/>
                <w:szCs w:val="20"/>
                <w:color w:val="auto"/>
              </w:rPr>
            </w:pPr>
            <w:r>
              <w:rPr>
                <w:rFonts w:ascii="Arial" w:cs="Arial" w:eastAsia="Arial" w:hAnsi="Arial"/>
                <w:sz w:val="18"/>
                <w:szCs w:val="18"/>
                <w:color w:val="auto"/>
              </w:rPr>
              <w:t>ONA-XR (10-50 mg)</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w w:val="99"/>
              </w:rPr>
              <w:t>Jayaram 2017</w:t>
            </w: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(10—50mg</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Active progression on Abiraterone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2.8 month PFS</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BID)</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w w:val="94"/>
              </w:rPr>
              <w:t>ONA-XR (50 mg) + Abiraterone</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±Abiraterone</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4.4 month PFS</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Onapristone XR</w:t>
            </w:r>
          </w:p>
        </w:tc>
        <w:tc>
          <w:tcPr>
            <w:tcW w:w="8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Phase 1</w:t>
            </w:r>
          </w:p>
        </w:tc>
        <w:tc>
          <w:tcPr>
            <w:tcW w:w="5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w:t>
            </w:r>
          </w:p>
        </w:tc>
        <w:tc>
          <w:tcPr>
            <w:tcW w:w="32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Breast Cancer</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9</w:t>
            </w:r>
          </w:p>
        </w:tc>
        <w:tc>
          <w:tcPr>
            <w:tcW w:w="6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(2-14)</w:t>
            </w:r>
          </w:p>
        </w:tc>
        <w:tc>
          <w:tcPr>
            <w:tcW w:w="80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PR+</w:t>
            </w:r>
          </w:p>
        </w:tc>
        <w:tc>
          <w:tcPr>
            <w:tcW w:w="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25%</w:t>
            </w:r>
          </w:p>
        </w:tc>
        <w:tc>
          <w:tcPr>
            <w:tcW w:w="2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DCR</w:t>
            </w:r>
          </w:p>
        </w:tc>
        <w:tc>
          <w:tcPr>
            <w:tcW w:w="1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Cottu 2018</w:t>
            </w: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(10—50mg</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Metastatic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4"/>
              </w:rPr>
              <w:t>15%</w:t>
            </w: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6-month PFS</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BID)</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gridSpan w:val="2"/>
          </w:tcPr>
          <w:p>
            <w:pPr>
              <w:spacing w:after="0"/>
              <w:rPr>
                <w:sz w:val="20"/>
                <w:szCs w:val="20"/>
                <w:color w:val="auto"/>
              </w:rPr>
            </w:pPr>
            <w:r>
              <w:rPr>
                <w:rFonts w:ascii="Arial" w:cs="Arial" w:eastAsia="Arial" w:hAnsi="Arial"/>
                <w:sz w:val="18"/>
                <w:szCs w:val="18"/>
                <w:color w:val="auto"/>
                <w:w w:val="95"/>
              </w:rPr>
              <w:t>Onapristone XR</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Phase 1</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13</w:t>
            </w: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Ovarian Cancer</w:t>
            </w:r>
          </w:p>
        </w:tc>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620" w:type="dxa"/>
            <w:vAlign w:val="bottom"/>
          </w:tcPr>
          <w:p>
            <w:pPr>
              <w:ind w:left="40"/>
              <w:spacing w:after="0"/>
              <w:rPr>
                <w:sz w:val="20"/>
                <w:szCs w:val="20"/>
                <w:color w:val="auto"/>
              </w:rPr>
            </w:pPr>
            <w:r>
              <w:rPr>
                <w:rFonts w:ascii="Arial" w:cs="Arial" w:eastAsia="Arial" w:hAnsi="Arial"/>
                <w:sz w:val="18"/>
                <w:szCs w:val="18"/>
                <w:color w:val="auto"/>
              </w:rPr>
              <w:t>(2-10)</w:t>
            </w:r>
          </w:p>
        </w:tc>
        <w:tc>
          <w:tcPr>
            <w:tcW w:w="800" w:type="dxa"/>
            <w:vAlign w:val="bottom"/>
            <w:gridSpan w:val="3"/>
          </w:tcPr>
          <w:p>
            <w:pPr>
              <w:ind w:left="60"/>
              <w:spacing w:after="0"/>
              <w:rPr>
                <w:sz w:val="20"/>
                <w:szCs w:val="20"/>
                <w:color w:val="auto"/>
              </w:rPr>
            </w:pPr>
            <w:r>
              <w:rPr>
                <w:rFonts w:ascii="Arial" w:cs="Arial" w:eastAsia="Arial" w:hAnsi="Arial"/>
                <w:sz w:val="18"/>
                <w:szCs w:val="18"/>
                <w:color w:val="auto"/>
              </w:rPr>
              <w:t>PR+</w:t>
            </w:r>
          </w:p>
        </w:tc>
        <w:tc>
          <w:tcPr>
            <w:tcW w:w="2380" w:type="dxa"/>
            <w:vAlign w:val="bottom"/>
            <w:gridSpan w:val="2"/>
          </w:tcPr>
          <w:p>
            <w:pPr>
              <w:spacing w:after="0"/>
              <w:rPr>
                <w:sz w:val="20"/>
                <w:szCs w:val="20"/>
                <w:color w:val="auto"/>
              </w:rPr>
            </w:pPr>
            <w:r>
              <w:rPr>
                <w:rFonts w:ascii="Arial" w:cs="Arial" w:eastAsia="Arial" w:hAnsi="Arial"/>
                <w:sz w:val="18"/>
                <w:szCs w:val="18"/>
                <w:color w:val="auto"/>
              </w:rPr>
              <w:t>8% ORR</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Cottu 2018</w:t>
            </w: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(10—50mg</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40" w:type="dxa"/>
            <w:vAlign w:val="bottom"/>
            <w:gridSpan w:val="3"/>
          </w:tcPr>
          <w:p>
            <w:pPr>
              <w:ind w:left="80"/>
              <w:spacing w:after="0"/>
              <w:rPr>
                <w:sz w:val="20"/>
                <w:szCs w:val="20"/>
                <w:color w:val="auto"/>
              </w:rPr>
            </w:pPr>
            <w:r>
              <w:rPr>
                <w:rFonts w:ascii="Arial" w:cs="Arial" w:eastAsia="Arial" w:hAnsi="Arial"/>
                <w:sz w:val="18"/>
                <w:szCs w:val="18"/>
                <w:color w:val="auto"/>
              </w:rPr>
              <w:t>Metastatic</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4"/>
              </w:rPr>
              <w:t>31%</w:t>
            </w:r>
          </w:p>
        </w:tc>
        <w:tc>
          <w:tcPr>
            <w:tcW w:w="2020" w:type="dxa"/>
            <w:vAlign w:val="bottom"/>
          </w:tcPr>
          <w:p>
            <w:pPr>
              <w:ind w:left="20"/>
              <w:spacing w:after="0"/>
              <w:rPr>
                <w:sz w:val="20"/>
                <w:szCs w:val="20"/>
                <w:color w:val="auto"/>
              </w:rPr>
            </w:pPr>
            <w:r>
              <w:rPr>
                <w:rFonts w:ascii="Arial" w:cs="Arial" w:eastAsia="Arial" w:hAnsi="Arial"/>
                <w:sz w:val="18"/>
                <w:szCs w:val="18"/>
                <w:color w:val="auto"/>
              </w:rPr>
              <w:t>6-month PFS</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BID)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BID: twice per day; DoR: duration of response; ORR: overall response rate; PFS: progression free survival.</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Onapristone IR Clinical Data</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Across first and second line metastatic breast cancer, onapristone IR (ONA-IR) demonstrated clinical activity comparable to anti-estrogen standard of care. We believe that by selecting for PR+ status and combining ONA-XR, an improved form of ONA-IR, with anti-estrogen therapy to promote complete hormone blockade, we will potentially generate superior efficacy data compared to the current standard of care treatment options.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Line Locally Advanced or Metastatic Breast Cancer</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 Phase 2 study investigating onapristone (ONA-IR, 100 mg/day as a single daily dose) as first-line endocrine therapy in patients with breast cancer was conducted as an investigator-initiated study, as shown below. Nineteen patients, either with locally advanced breast cancer (n = 12) or who were elderly with primary breast cancer and considered unfit for standard of care (n = 7) received ONA-IR. In 17 of the 19 patients, tumors expressed ER while 12 of 18 tumors tested expressed PR.</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Among 18 patients who were evaluable for response, 10 had a partial response and 2 had stable disease (“SD”) for six months or more. The median duration of objective response and SD was 70 weeks. Ten patients were ER-positive/PR-positive, of whom 7 achieved partial response (PR; tumor shrinkage of &gt;30%) and 1 had SD. Overall, the clinical benefit rate was considered comparable to the current standard of care of letrozole (anti-estrogen) and palbociclib (CDK4/6 inhibitor).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ONA-IR to standard of care in 1L locally advanced or metastatic breast cancer</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Treatment</w:t>
            </w:r>
          </w:p>
        </w:tc>
        <w:tc>
          <w:tcPr>
            <w:tcW w:w="2300" w:type="dxa"/>
            <w:vAlign w:val="bottom"/>
            <w:gridSpan w:val="2"/>
            <w:vMerge w:val="restart"/>
          </w:tcPr>
          <w:p>
            <w:pPr>
              <w:ind w:left="820"/>
              <w:spacing w:after="0"/>
              <w:rPr>
                <w:sz w:val="20"/>
                <w:szCs w:val="20"/>
                <w:color w:val="auto"/>
              </w:rPr>
            </w:pPr>
            <w:r>
              <w:rPr>
                <w:rFonts w:ascii="Arial" w:cs="Arial" w:eastAsia="Arial" w:hAnsi="Arial"/>
                <w:sz w:val="14"/>
                <w:szCs w:val="14"/>
                <w:color w:val="auto"/>
              </w:rPr>
              <w:t>Subtype</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Patients</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CBR</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ORR</w:t>
            </w:r>
          </w:p>
        </w:tc>
        <w:tc>
          <w:tcPr>
            <w:tcW w:w="140" w:type="dxa"/>
            <w:vAlign w:val="bottom"/>
          </w:tcPr>
          <w:p>
            <w:pPr>
              <w:spacing w:after="0"/>
              <w:rPr>
                <w:sz w:val="14"/>
                <w:szCs w:val="14"/>
                <w:color w:val="auto"/>
              </w:rPr>
            </w:pPr>
          </w:p>
        </w:tc>
        <w:tc>
          <w:tcPr>
            <w:tcW w:w="2040" w:type="dxa"/>
            <w:vAlign w:val="bottom"/>
            <w:vMerge w:val="restart"/>
          </w:tcPr>
          <w:p>
            <w:pPr>
              <w:ind w:left="500"/>
              <w:spacing w:after="0"/>
              <w:rPr>
                <w:sz w:val="20"/>
                <w:szCs w:val="20"/>
                <w:color w:val="auto"/>
              </w:rPr>
            </w:pPr>
            <w:r>
              <w:rPr>
                <w:rFonts w:ascii="Arial" w:cs="Arial" w:eastAsia="Arial" w:hAnsi="Arial"/>
                <w:sz w:val="14"/>
                <w:szCs w:val="14"/>
                <w:color w:val="auto"/>
              </w:rPr>
              <w:t>Grade 3,4 AE (%)</w:t>
            </w:r>
          </w:p>
        </w:tc>
        <w:tc>
          <w:tcPr>
            <w:tcW w:w="220" w:type="dxa"/>
            <w:vAlign w:val="bottom"/>
          </w:tcPr>
          <w:p>
            <w:pPr>
              <w:spacing w:after="0"/>
              <w:rPr>
                <w:sz w:val="14"/>
                <w:szCs w:val="14"/>
                <w:color w:val="auto"/>
              </w:rPr>
            </w:pPr>
          </w:p>
        </w:tc>
        <w:tc>
          <w:tcPr>
            <w:tcW w:w="2020" w:type="dxa"/>
            <w:vAlign w:val="bottom"/>
            <w:vMerge w:val="restart"/>
          </w:tcPr>
          <w:p>
            <w:pPr>
              <w:ind w:left="720"/>
              <w:spacing w:after="0"/>
              <w:rPr>
                <w:sz w:val="20"/>
                <w:szCs w:val="20"/>
                <w:color w:val="auto"/>
              </w:rPr>
            </w:pPr>
            <w:r>
              <w:rPr>
                <w:rFonts w:ascii="Arial" w:cs="Arial" w:eastAsia="Arial" w:hAnsi="Arial"/>
                <w:sz w:val="14"/>
                <w:szCs w:val="14"/>
                <w:color w:val="auto"/>
              </w:rPr>
              <w:t>Reference</w:t>
            </w:r>
          </w:p>
        </w:tc>
        <w:tc>
          <w:tcPr>
            <w:tcW w:w="0" w:type="dxa"/>
            <w:vAlign w:val="bottom"/>
          </w:tcPr>
          <w:p>
            <w:pPr>
              <w:spacing w:after="0"/>
              <w:rPr>
                <w:sz w:val="1"/>
                <w:szCs w:val="1"/>
                <w:color w:val="auto"/>
              </w:rPr>
            </w:pPr>
          </w:p>
        </w:tc>
      </w:tr>
      <w:tr>
        <w:trPr>
          <w:trHeight w:val="154"/>
        </w:trPr>
        <w:tc>
          <w:tcPr>
            <w:tcW w:w="2560" w:type="dxa"/>
            <w:vAlign w:val="bottom"/>
            <w:gridSpan w:val="2"/>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74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(n)</w:t>
            </w:r>
          </w:p>
        </w:tc>
        <w:tc>
          <w:tcPr>
            <w:tcW w:w="3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ONA-IR</w:t>
            </w:r>
          </w:p>
        </w:tc>
        <w:tc>
          <w:tcPr>
            <w:tcW w:w="2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g</w:t>
            </w:r>
            <w:r>
              <w:rPr>
                <w:rFonts w:ascii="Arial" w:cs="Arial" w:eastAsia="Arial" w:hAnsi="Arial"/>
                <w:sz w:val="17"/>
                <w:szCs w:val="17"/>
                <w:color w:val="auto"/>
              </w:rPr>
              <w:t>GT (&lt;5%)</w:t>
            </w: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Robertson (1999)</w:t>
            </w:r>
          </w:p>
        </w:tc>
        <w:tc>
          <w:tcPr>
            <w:tcW w:w="0" w:type="dxa"/>
            <w:vAlign w:val="bottom"/>
          </w:tcPr>
          <w:p>
            <w:pPr>
              <w:spacing w:after="0"/>
              <w:rPr>
                <w:sz w:val="1"/>
                <w:szCs w:val="1"/>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PAL + LET</w:t>
            </w: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HR+,HER2-</w:t>
            </w:r>
          </w:p>
        </w:tc>
        <w:tc>
          <w:tcPr>
            <w:tcW w:w="7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165</w:t>
            </w:r>
          </w:p>
        </w:tc>
        <w:tc>
          <w:tcPr>
            <w:tcW w:w="5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81</w:t>
            </w:r>
          </w:p>
        </w:tc>
        <w:tc>
          <w:tcPr>
            <w:tcW w:w="4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55</w:t>
            </w:r>
          </w:p>
        </w:tc>
        <w:tc>
          <w:tcPr>
            <w:tcW w:w="21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Neutropenia (55%),</w:t>
            </w:r>
          </w:p>
        </w:tc>
        <w:tc>
          <w:tcPr>
            <w:tcW w:w="22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PALOMA-1 (2014)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Leukopenia (25%)</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CBR: clinical benefit rate; LET: letrozole; ONA: onapristone, ORR: overall response rate; PAL: palbociclib.</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Line Metastatic Breast Cancer</w:t>
      </w:r>
    </w:p>
    <w:p>
      <w:pPr>
        <w:spacing w:after="0" w:line="117"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A non-randomized, open label, multicenter Phase 2 study was conducted at 13 sites in Germany and the United Kingdom, as shown below. The study goal was to investigate the efficacy and safety of ONA-IR when given 100 mg/day to post-menopausal women with advanced breast cancer who had progressed on tamoxifen, a selective estrogen receptor modulator therapy. The study was also designed to assess the influence of onapristone on the levels of relevant endocrine parameters (cortisol, androstenedione, estrone and estradiol).</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Of the 101 evaluable patients, 1 had a complete response (“CR”), 9 had a partial response, and 39 had SD for three months or more. The median duration of response was 11 months. Median time to progression was 4 months.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second line metastatic breast cancer, ONA-IR exhibited monotherapy activity in patients who had progressed while on tamoxifen. In this trial, patients were not screened for progesterone receptor positive (PR+) status, meaning that only 60% of enrolled patients would have expected to be PR+ based upon historical prevalence in this setting and therefore derive clinical benefit from ONA-IR. Therefore, this trial potentially under-represents the likely true clinical benefit of ONA-IR had patients been stratified for the partial response biomarker. Despite administering a monotherapy without patient selection for PR+, ONA-IR demonstrated comparable clinical activity to standard of care anti-estrogens (FUL), CDK4/6 inhibitors (PAL), and the combination of the two (FUL + PAL).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ONA-IR to standard of care in 2L metastatic breast cancer</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Patients</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CBR</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ORR</w:t>
            </w: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87"/>
        </w:trPr>
        <w:tc>
          <w:tcPr>
            <w:tcW w:w="2100" w:type="dxa"/>
            <w:vAlign w:val="bottom"/>
            <w:gridSpan w:val="2"/>
          </w:tcPr>
          <w:p>
            <w:pPr>
              <w:spacing w:after="0"/>
              <w:rPr>
                <w:sz w:val="20"/>
                <w:szCs w:val="20"/>
                <w:color w:val="auto"/>
              </w:rPr>
            </w:pPr>
            <w:r>
              <w:rPr>
                <w:rFonts w:ascii="Arial" w:cs="Arial" w:eastAsia="Arial" w:hAnsi="Arial"/>
                <w:sz w:val="14"/>
                <w:szCs w:val="14"/>
                <w:color w:val="auto"/>
              </w:rPr>
              <w:t>Treatment</w:t>
            </w:r>
          </w:p>
        </w:tc>
        <w:tc>
          <w:tcPr>
            <w:tcW w:w="1600" w:type="dxa"/>
            <w:vAlign w:val="bottom"/>
            <w:gridSpan w:val="2"/>
          </w:tcPr>
          <w:p>
            <w:pPr>
              <w:jc w:val="right"/>
              <w:ind w:right="680"/>
              <w:spacing w:after="0"/>
              <w:rPr>
                <w:sz w:val="20"/>
                <w:szCs w:val="20"/>
                <w:color w:val="auto"/>
              </w:rPr>
            </w:pPr>
            <w:r>
              <w:rPr>
                <w:rFonts w:ascii="Arial" w:cs="Arial" w:eastAsia="Arial" w:hAnsi="Arial"/>
                <w:sz w:val="14"/>
                <w:szCs w:val="14"/>
                <w:color w:val="auto"/>
              </w:rPr>
              <w:t>Subtype</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color w:val="auto"/>
              </w:rPr>
              <w:t>(n)</w:t>
            </w:r>
          </w:p>
        </w:tc>
        <w:tc>
          <w:tcPr>
            <w:tcW w:w="620" w:type="dxa"/>
            <w:vAlign w:val="bottom"/>
          </w:tcPr>
          <w:p>
            <w:pPr>
              <w:jc w:val="right"/>
              <w:ind w:right="11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0" w:type="dxa"/>
            <w:vAlign w:val="bottom"/>
            <w:gridSpan w:val="2"/>
          </w:tcPr>
          <w:p>
            <w:pPr>
              <w:ind w:left="860"/>
              <w:spacing w:after="0"/>
              <w:rPr>
                <w:sz w:val="20"/>
                <w:szCs w:val="20"/>
                <w:color w:val="auto"/>
              </w:rPr>
            </w:pPr>
            <w:r>
              <w:rPr>
                <w:rFonts w:ascii="Arial" w:cs="Arial" w:eastAsia="Arial" w:hAnsi="Arial"/>
                <w:sz w:val="14"/>
                <w:szCs w:val="14"/>
                <w:color w:val="auto"/>
              </w:rPr>
              <w:t>Grade 3,4 AE (%)</w:t>
            </w:r>
          </w:p>
        </w:tc>
        <w:tc>
          <w:tcPr>
            <w:tcW w:w="1660" w:type="dxa"/>
            <w:vAlign w:val="bottom"/>
          </w:tcPr>
          <w:p>
            <w:pPr>
              <w:ind w:left="540"/>
              <w:spacing w:after="0"/>
              <w:rPr>
                <w:sz w:val="20"/>
                <w:szCs w:val="20"/>
                <w:color w:val="auto"/>
              </w:rPr>
            </w:pPr>
            <w:r>
              <w:rPr>
                <w:rFonts w:ascii="Arial" w:cs="Arial" w:eastAsia="Arial" w:hAnsi="Arial"/>
                <w:sz w:val="14"/>
                <w:szCs w:val="14"/>
                <w:color w:val="auto"/>
              </w:rPr>
              <w:t>Reference</w:t>
            </w:r>
          </w:p>
        </w:tc>
      </w:tr>
      <w:tr>
        <w:trPr>
          <w:trHeight w:val="203"/>
        </w:trPr>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ONA</w:t>
            </w:r>
          </w:p>
        </w:tc>
        <w:tc>
          <w:tcPr>
            <w:tcW w:w="15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434"/>
              <w:spacing w:after="0" w:line="203" w:lineRule="exact"/>
              <w:rPr>
                <w:sz w:val="20"/>
                <w:szCs w:val="20"/>
                <w:color w:val="auto"/>
              </w:rPr>
            </w:pPr>
            <w:r>
              <w:rPr>
                <w:rFonts w:ascii="Arial" w:cs="Arial" w:eastAsia="Arial" w:hAnsi="Arial"/>
                <w:sz w:val="18"/>
                <w:szCs w:val="18"/>
                <w:color w:val="auto"/>
                <w:w w:val="93"/>
              </w:rPr>
              <w:t>All Comers</w:t>
            </w: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 reported</w:t>
            </w:r>
          </w:p>
        </w:tc>
        <w:tc>
          <w:tcPr>
            <w:tcW w:w="2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Jonat (1996)</w:t>
            </w: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PAL</w:t>
            </w:r>
          </w:p>
        </w:tc>
        <w:tc>
          <w:tcPr>
            <w:tcW w:w="160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w w:val="92"/>
              </w:rPr>
              <w:t>HR+,HER2-</w:t>
            </w:r>
          </w:p>
        </w:tc>
        <w:tc>
          <w:tcPr>
            <w:tcW w:w="9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58</w:t>
            </w:r>
          </w:p>
        </w:tc>
        <w:tc>
          <w:tcPr>
            <w:tcW w:w="8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7</w:t>
            </w: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Neutropenia (55%),</w:t>
            </w: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TREnd (2017)</w:t>
            </w:r>
          </w:p>
        </w:tc>
      </w:tr>
      <w:tr>
        <w:trPr>
          <w:trHeight w:val="237"/>
        </w:trPr>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Leukopenia (25%)</w:t>
            </w:r>
          </w:p>
        </w:tc>
        <w:tc>
          <w:tcPr>
            <w:tcW w:w="1660" w:type="dxa"/>
            <w:vAlign w:val="bottom"/>
          </w:tcPr>
          <w:p>
            <w:pPr>
              <w:spacing w:after="0"/>
              <w:rPr>
                <w:sz w:val="20"/>
                <w:szCs w:val="20"/>
                <w:color w:val="auto"/>
              </w:rPr>
            </w:pPr>
          </w:p>
        </w:tc>
      </w:tr>
      <w:tr>
        <w:trPr>
          <w:trHeight w:val="223"/>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HR+,HER2-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Fatigue (&lt;5%)</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PALOMA-3 (2015)</w:t>
            </w: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PAL + FUL</w:t>
            </w:r>
          </w:p>
        </w:tc>
        <w:tc>
          <w:tcPr>
            <w:tcW w:w="160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w w:val="92"/>
              </w:rPr>
              <w:t>HR+,HER2-</w:t>
            </w:r>
          </w:p>
        </w:tc>
        <w:tc>
          <w:tcPr>
            <w:tcW w:w="9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347</w:t>
            </w:r>
          </w:p>
        </w:tc>
        <w:tc>
          <w:tcPr>
            <w:tcW w:w="8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67</w:t>
            </w: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19</w:t>
            </w: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Neutropenia (65%),</w:t>
            </w: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PALOMA-3 (2015)</w:t>
            </w:r>
          </w:p>
        </w:tc>
      </w:tr>
      <w:tr>
        <w:trPr>
          <w:trHeight w:val="230"/>
        </w:trPr>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Leukopenia (25%)</w:t>
            </w:r>
          </w:p>
        </w:tc>
        <w:tc>
          <w:tcPr>
            <w:tcW w:w="1660" w:type="dxa"/>
            <w:vAlign w:val="bottom"/>
          </w:tcPr>
          <w:p>
            <w:pPr>
              <w:spacing w:after="0"/>
              <w:rPr>
                <w:sz w:val="20"/>
                <w:szCs w:val="20"/>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CBR: clinical benefit rate; FUL: fulvestrant; LET: letrozole; ONA: onapristone, ORR: overall response rate; PAL: palbociclib.</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Onapristone XR Clinical Data</w:t>
      </w:r>
    </w:p>
    <w:p>
      <w:pPr>
        <w:spacing w:after="0" w:line="117" w:lineRule="exact"/>
        <w:rPr>
          <w:sz w:val="20"/>
          <w:szCs w:val="20"/>
          <w:color w:val="auto"/>
        </w:rPr>
      </w:pPr>
    </w:p>
    <w:p>
      <w:pPr>
        <w:ind w:left="120" w:right="400" w:firstLine="440"/>
        <w:spacing w:after="0" w:line="275" w:lineRule="auto"/>
        <w:rPr>
          <w:sz w:val="20"/>
          <w:szCs w:val="20"/>
          <w:color w:val="auto"/>
        </w:rPr>
      </w:pPr>
      <w:r>
        <w:rPr>
          <w:rFonts w:ascii="Arial" w:cs="Arial" w:eastAsia="Arial" w:hAnsi="Arial"/>
          <w:sz w:val="17"/>
          <w:szCs w:val="17"/>
          <w:color w:val="auto"/>
        </w:rPr>
        <w:t>Overall, 128 subjects received at least a single dose of ONA-XR across both healthy volunteer and cancer trials through December 31, 2020. Multiple drug product formulations of onapristone have been developed for evaluation throughout the clinical development program. Clinical development was initiated with a 10 mg immediate release (IR) capsule. An IR tablet formulation (10mg, 25 mg) and extended release (XR) tablet formulation (2.5 mg, 5 mg, 10 mg, and 20 mg) were also developed. The tablets have been administered as a single tablet or in multiples in order to obtain the desired dosage. The XR tablet has been used in ongoing safety and efficacy studies.</w:t>
      </w:r>
    </w:p>
    <w:p>
      <w:pPr>
        <w:sectPr>
          <w:pgSz w:w="11900" w:h="16838" w:orient="portrait"/>
          <w:cols w:equalWidth="0" w:num="1">
            <w:col w:w="11140"/>
          </w:cols>
          <w:pgMar w:left="320" w:top="459" w:right="439" w:bottom="1440" w:gutter="0" w:footer="0" w:header="0"/>
        </w:sect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Clinical studies incorporating new formulation</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Study Protocol</w:t>
            </w:r>
          </w:p>
        </w:tc>
        <w:tc>
          <w:tcPr>
            <w:tcW w:w="280" w:type="dxa"/>
            <w:vAlign w:val="bottom"/>
          </w:tcPr>
          <w:p>
            <w:pPr>
              <w:spacing w:after="0"/>
              <w:rPr>
                <w:sz w:val="14"/>
                <w:szCs w:val="14"/>
                <w:color w:val="auto"/>
              </w:rPr>
            </w:pPr>
          </w:p>
        </w:tc>
        <w:tc>
          <w:tcPr>
            <w:tcW w:w="23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Study Design</w:t>
            </w: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(Status)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20" w:type="dxa"/>
            <w:vAlign w:val="bottom"/>
            <w:gridSpan w:val="2"/>
          </w:tcPr>
          <w:p>
            <w:pPr>
              <w:spacing w:after="0" w:line="176" w:lineRule="exact"/>
              <w:rPr>
                <w:sz w:val="20"/>
                <w:szCs w:val="20"/>
                <w:color w:val="auto"/>
              </w:rPr>
            </w:pPr>
            <w:r>
              <w:rPr>
                <w:rFonts w:ascii="Arial" w:cs="Arial" w:eastAsia="Arial" w:hAnsi="Arial"/>
                <w:sz w:val="18"/>
                <w:szCs w:val="18"/>
                <w:color w:val="auto"/>
              </w:rPr>
              <w:t>AR18-CT-001</w:t>
            </w:r>
          </w:p>
        </w:tc>
        <w:tc>
          <w:tcPr>
            <w:tcW w:w="280" w:type="dxa"/>
            <w:vAlign w:val="bottom"/>
          </w:tcPr>
          <w:p>
            <w:pPr>
              <w:spacing w:after="0"/>
              <w:rPr>
                <w:sz w:val="15"/>
                <w:szCs w:val="15"/>
                <w:color w:val="auto"/>
              </w:rPr>
            </w:pPr>
          </w:p>
        </w:tc>
        <w:tc>
          <w:tcPr>
            <w:tcW w:w="2340" w:type="dxa"/>
            <w:vAlign w:val="bottom"/>
          </w:tcPr>
          <w:p>
            <w:pPr>
              <w:spacing w:after="0" w:line="176" w:lineRule="exact"/>
              <w:rPr>
                <w:sz w:val="20"/>
                <w:szCs w:val="20"/>
                <w:color w:val="auto"/>
              </w:rPr>
            </w:pPr>
            <w:r>
              <w:rPr>
                <w:rFonts w:ascii="Arial" w:cs="Arial" w:eastAsia="Arial" w:hAnsi="Arial"/>
                <w:sz w:val="18"/>
                <w:szCs w:val="18"/>
                <w:color w:val="auto"/>
              </w:rPr>
              <w:t>Single dose PK</w:t>
            </w:r>
          </w:p>
        </w:tc>
        <w:tc>
          <w:tcPr>
            <w:tcW w:w="0" w:type="dxa"/>
            <w:vAlign w:val="bottom"/>
          </w:tcPr>
          <w:p>
            <w:pPr>
              <w:spacing w:after="0"/>
              <w:rPr>
                <w:sz w:val="1"/>
                <w:szCs w:val="1"/>
                <w:color w:val="auto"/>
              </w:rPr>
            </w:pP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(Closed)</w:t>
            </w: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study of oral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immediate release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(IR) formulation</w:t>
            </w:r>
          </w:p>
        </w:tc>
        <w:tc>
          <w:tcPr>
            <w:tcW w:w="0" w:type="dxa"/>
            <w:vAlign w:val="bottom"/>
          </w:tcPr>
          <w:p>
            <w:pPr>
              <w:spacing w:after="0"/>
              <w:rPr>
                <w:sz w:val="1"/>
                <w:szCs w:val="1"/>
                <w:color w:val="auto"/>
              </w:rPr>
            </w:pPr>
          </w:p>
        </w:tc>
      </w:tr>
      <w:tr>
        <w:trPr>
          <w:trHeight w:val="323"/>
        </w:trPr>
        <w:tc>
          <w:tcPr>
            <w:tcW w:w="1320" w:type="dxa"/>
            <w:vAlign w:val="bottom"/>
            <w:gridSpan w:val="2"/>
          </w:tcPr>
          <w:p>
            <w:pPr>
              <w:spacing w:after="0"/>
              <w:rPr>
                <w:sz w:val="20"/>
                <w:szCs w:val="20"/>
                <w:color w:val="auto"/>
              </w:rPr>
            </w:pPr>
            <w:r>
              <w:rPr>
                <w:rFonts w:ascii="Arial" w:cs="Arial" w:eastAsia="Arial" w:hAnsi="Arial"/>
                <w:sz w:val="18"/>
                <w:szCs w:val="18"/>
                <w:color w:val="auto"/>
              </w:rPr>
              <w:t>AR18-CT-101</w:t>
            </w: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Multi-center, open- label,</w:t>
            </w: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(Closed)</w:t>
            </w: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randomized, two-stage study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with a phase 2 expansion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component in patients PR+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w w:val="91"/>
              </w:rPr>
              <w:t>breast, ovarian, or endometrioid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adenocarcinoma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Dosage</w:t>
            </w:r>
          </w:p>
        </w:tc>
        <w:tc>
          <w:tcPr>
            <w:tcW w:w="1840" w:type="dxa"/>
            <w:vAlign w:val="bottom"/>
          </w:tcPr>
          <w:p>
            <w:pPr>
              <w:spacing w:after="0"/>
              <w:rPr>
                <w:sz w:val="14"/>
                <w:szCs w:val="14"/>
                <w:color w:val="auto"/>
              </w:rPr>
            </w:pPr>
          </w:p>
        </w:tc>
      </w:tr>
      <w:tr>
        <w:trPr>
          <w:trHeight w:val="185"/>
        </w:trPr>
        <w:tc>
          <w:tcPr>
            <w:tcW w:w="2240" w:type="dxa"/>
            <w:vAlign w:val="bottom"/>
            <w:gridSpan w:val="2"/>
          </w:tcPr>
          <w:p>
            <w:pPr>
              <w:ind w:left="960"/>
              <w:spacing w:after="0"/>
              <w:rPr>
                <w:sz w:val="20"/>
                <w:szCs w:val="20"/>
                <w:color w:val="auto"/>
              </w:rPr>
            </w:pPr>
            <w:r>
              <w:rPr>
                <w:rFonts w:ascii="Arial" w:cs="Arial" w:eastAsia="Arial" w:hAnsi="Arial"/>
                <w:sz w:val="14"/>
                <w:szCs w:val="14"/>
                <w:b w:val="1"/>
                <w:bCs w:val="1"/>
                <w:color w:val="auto"/>
              </w:rPr>
              <w:t>N</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and Regimen</w:t>
            </w:r>
          </w:p>
        </w:tc>
        <w:tc>
          <w:tcPr>
            <w:tcW w:w="1840" w:type="dxa"/>
            <w:vAlign w:val="bottom"/>
          </w:tcPr>
          <w:p>
            <w:pPr>
              <w:ind w:left="600"/>
              <w:spacing w:after="0"/>
              <w:rPr>
                <w:sz w:val="20"/>
                <w:szCs w:val="20"/>
                <w:color w:val="auto"/>
              </w:rPr>
            </w:pPr>
            <w:r>
              <w:rPr>
                <w:rFonts w:ascii="Arial" w:cs="Arial" w:eastAsia="Arial" w:hAnsi="Arial"/>
                <w:sz w:val="14"/>
                <w:szCs w:val="14"/>
                <w:b w:val="1"/>
                <w:bCs w:val="1"/>
                <w:color w:val="auto"/>
              </w:rPr>
              <w:t>Endpoints</w:t>
            </w:r>
          </w:p>
        </w:tc>
      </w:tr>
      <w:tr>
        <w:trPr>
          <w:trHeight w:val="195"/>
        </w:trPr>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12 Healthy female</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5"/>
              </w:rPr>
              <w:t>18+</w:t>
            </w:r>
          </w:p>
        </w:tc>
        <w:tc>
          <w:tcPr>
            <w:tcW w:w="22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 mg single dose,</w:t>
            </w:r>
          </w:p>
        </w:tc>
        <w:tc>
          <w:tcPr>
            <w:tcW w:w="220" w:type="dxa"/>
            <w:vAlign w:val="bottom"/>
          </w:tcPr>
          <w:p>
            <w:pPr>
              <w:spacing w:after="0"/>
              <w:rPr>
                <w:sz w:val="16"/>
                <w:szCs w:val="16"/>
                <w:color w:val="auto"/>
              </w:rPr>
            </w:pPr>
          </w:p>
        </w:tc>
        <w:tc>
          <w:tcPr>
            <w:tcW w:w="1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PK profile,</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volunteers</w:t>
            </w:r>
          </w:p>
        </w:tc>
        <w:tc>
          <w:tcPr>
            <w:tcW w:w="280" w:type="dxa"/>
            <w:vAlign w:val="bottom"/>
          </w:tcPr>
          <w:p>
            <w:pPr>
              <w:spacing w:after="0"/>
              <w:rPr>
                <w:sz w:val="18"/>
                <w:szCs w:val="18"/>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fasting and 2 weeks</w:t>
            </w:r>
          </w:p>
        </w:tc>
        <w:tc>
          <w:tcPr>
            <w:tcW w:w="1840" w:type="dxa"/>
            <w:vAlign w:val="bottom"/>
          </w:tcPr>
          <w:p>
            <w:pPr>
              <w:spacing w:after="0"/>
              <w:rPr>
                <w:sz w:val="20"/>
                <w:szCs w:val="20"/>
                <w:color w:val="auto"/>
              </w:rPr>
            </w:pPr>
            <w:r>
              <w:rPr>
                <w:rFonts w:ascii="Arial" w:cs="Arial" w:eastAsia="Arial" w:hAnsi="Arial"/>
                <w:sz w:val="18"/>
                <w:szCs w:val="18"/>
                <w:color w:val="auto"/>
              </w:rPr>
              <w:t>food effect,</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later with food or</w:t>
            </w:r>
          </w:p>
        </w:tc>
        <w:tc>
          <w:tcPr>
            <w:tcW w:w="1840" w:type="dxa"/>
            <w:vAlign w:val="bottom"/>
          </w:tcPr>
          <w:p>
            <w:pPr>
              <w:spacing w:after="0"/>
              <w:rPr>
                <w:sz w:val="20"/>
                <w:szCs w:val="20"/>
                <w:color w:val="auto"/>
              </w:rPr>
            </w:pPr>
            <w:r>
              <w:rPr>
                <w:rFonts w:ascii="Arial" w:cs="Arial" w:eastAsia="Arial" w:hAnsi="Arial"/>
                <w:sz w:val="18"/>
                <w:szCs w:val="18"/>
                <w:color w:val="auto"/>
              </w:rPr>
              <w:t>safety</w:t>
            </w:r>
          </w:p>
        </w:tc>
      </w:tr>
      <w:tr>
        <w:trPr>
          <w:trHeight w:val="230"/>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vice-versa</w:t>
            </w:r>
          </w:p>
        </w:tc>
        <w:tc>
          <w:tcPr>
            <w:tcW w:w="1840" w:type="dxa"/>
            <w:vAlign w:val="bottom"/>
          </w:tcPr>
          <w:p>
            <w:pPr>
              <w:spacing w:after="0"/>
              <w:rPr>
                <w:sz w:val="20"/>
                <w:szCs w:val="20"/>
                <w:color w:val="auto"/>
              </w:rPr>
            </w:pPr>
          </w:p>
        </w:tc>
      </w:tr>
      <w:tr>
        <w:trPr>
          <w:trHeight w:val="323"/>
        </w:trPr>
        <w:tc>
          <w:tcPr>
            <w:tcW w:w="2240" w:type="dxa"/>
            <w:vAlign w:val="bottom"/>
            <w:gridSpan w:val="2"/>
          </w:tcPr>
          <w:p>
            <w:pPr>
              <w:spacing w:after="0"/>
              <w:rPr>
                <w:sz w:val="20"/>
                <w:szCs w:val="20"/>
                <w:color w:val="auto"/>
              </w:rPr>
            </w:pPr>
            <w:r>
              <w:rPr>
                <w:rFonts w:ascii="Arial" w:cs="Arial" w:eastAsia="Arial" w:hAnsi="Arial"/>
                <w:sz w:val="18"/>
                <w:szCs w:val="18"/>
                <w:color w:val="auto"/>
              </w:rPr>
              <w:t>58 post- menopausal</w:t>
            </w:r>
          </w:p>
        </w:tc>
        <w:tc>
          <w:tcPr>
            <w:tcW w:w="2780" w:type="dxa"/>
            <w:vAlign w:val="bottom"/>
            <w:gridSpan w:val="4"/>
          </w:tcPr>
          <w:p>
            <w:pPr>
              <w:spacing w:after="0"/>
              <w:rPr>
                <w:sz w:val="20"/>
                <w:szCs w:val="20"/>
                <w:color w:val="auto"/>
              </w:rPr>
            </w:pPr>
            <w:r>
              <w:rPr>
                <w:rFonts w:ascii="Arial" w:cs="Arial" w:eastAsia="Arial" w:hAnsi="Arial"/>
                <w:sz w:val="18"/>
                <w:szCs w:val="18"/>
                <w:color w:val="auto"/>
              </w:rPr>
              <w:t>18+   10 mg XR BID</w:t>
            </w:r>
          </w:p>
        </w:tc>
        <w:tc>
          <w:tcPr>
            <w:tcW w:w="1840" w:type="dxa"/>
            <w:vAlign w:val="bottom"/>
          </w:tcPr>
          <w:p>
            <w:pPr>
              <w:spacing w:after="0"/>
              <w:rPr>
                <w:sz w:val="20"/>
                <w:szCs w:val="20"/>
                <w:color w:val="auto"/>
              </w:rPr>
            </w:pPr>
            <w:r>
              <w:rPr>
                <w:rFonts w:ascii="Arial" w:cs="Arial" w:eastAsia="Arial" w:hAnsi="Arial"/>
                <w:sz w:val="18"/>
                <w:szCs w:val="18"/>
                <w:color w:val="auto"/>
              </w:rPr>
              <w:t>Safety,</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females, recurrent or</w:t>
            </w:r>
          </w:p>
        </w:tc>
        <w:tc>
          <w:tcPr>
            <w:tcW w:w="280" w:type="dxa"/>
            <w:vAlign w:val="bottom"/>
          </w:tcPr>
          <w:p>
            <w:pPr>
              <w:spacing w:after="0"/>
              <w:rPr>
                <w:sz w:val="18"/>
                <w:szCs w:val="18"/>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20 mg XR BID</w:t>
            </w:r>
          </w:p>
        </w:tc>
        <w:tc>
          <w:tcPr>
            <w:tcW w:w="1840" w:type="dxa"/>
            <w:vAlign w:val="bottom"/>
          </w:tcPr>
          <w:p>
            <w:pPr>
              <w:spacing w:after="0"/>
              <w:rPr>
                <w:sz w:val="20"/>
                <w:szCs w:val="20"/>
                <w:color w:val="auto"/>
              </w:rPr>
            </w:pPr>
            <w:r>
              <w:rPr>
                <w:rFonts w:ascii="Arial" w:cs="Arial" w:eastAsia="Arial" w:hAnsi="Arial"/>
                <w:sz w:val="18"/>
                <w:szCs w:val="18"/>
                <w:color w:val="auto"/>
              </w:rPr>
              <w:t>RP2D,</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metastatic PR+ cancer</w:t>
            </w:r>
          </w:p>
        </w:tc>
        <w:tc>
          <w:tcPr>
            <w:tcW w:w="280" w:type="dxa"/>
            <w:vAlign w:val="bottom"/>
          </w:tcPr>
          <w:p>
            <w:pPr>
              <w:spacing w:after="0"/>
              <w:rPr>
                <w:sz w:val="18"/>
                <w:szCs w:val="18"/>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30 mg XR BID</w:t>
            </w:r>
          </w:p>
        </w:tc>
        <w:tc>
          <w:tcPr>
            <w:tcW w:w="1840" w:type="dxa"/>
            <w:vAlign w:val="bottom"/>
          </w:tcPr>
          <w:p>
            <w:pPr>
              <w:spacing w:after="0"/>
              <w:rPr>
                <w:sz w:val="20"/>
                <w:szCs w:val="20"/>
                <w:color w:val="auto"/>
              </w:rPr>
            </w:pPr>
            <w:r>
              <w:rPr>
                <w:rFonts w:ascii="Arial" w:cs="Arial" w:eastAsia="Arial" w:hAnsi="Arial"/>
                <w:sz w:val="18"/>
                <w:szCs w:val="18"/>
                <w:color w:val="auto"/>
              </w:rPr>
              <w:t>Efficacy,</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40 mg XR BID</w:t>
            </w:r>
          </w:p>
        </w:tc>
        <w:tc>
          <w:tcPr>
            <w:tcW w:w="1840" w:type="dxa"/>
            <w:vAlign w:val="bottom"/>
          </w:tcPr>
          <w:p>
            <w:pPr>
              <w:spacing w:after="0"/>
              <w:rPr>
                <w:sz w:val="20"/>
                <w:szCs w:val="20"/>
                <w:color w:val="auto"/>
              </w:rPr>
            </w:pPr>
            <w:r>
              <w:rPr>
                <w:rFonts w:ascii="Arial" w:cs="Arial" w:eastAsia="Arial" w:hAnsi="Arial"/>
                <w:sz w:val="18"/>
                <w:szCs w:val="18"/>
                <w:color w:val="auto"/>
              </w:rPr>
              <w:t>PK,</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50 mg XR BID</w:t>
            </w:r>
          </w:p>
        </w:tc>
        <w:tc>
          <w:tcPr>
            <w:tcW w:w="1840" w:type="dxa"/>
            <w:vAlign w:val="bottom"/>
          </w:tcPr>
          <w:p>
            <w:pPr>
              <w:spacing w:after="0"/>
              <w:rPr>
                <w:sz w:val="20"/>
                <w:szCs w:val="20"/>
                <w:color w:val="auto"/>
              </w:rPr>
            </w:pPr>
            <w:r>
              <w:rPr>
                <w:rFonts w:ascii="Arial" w:cs="Arial" w:eastAsia="Arial" w:hAnsi="Arial"/>
                <w:sz w:val="18"/>
                <w:szCs w:val="18"/>
                <w:color w:val="auto"/>
              </w:rPr>
              <w:t>Bioavailability</w:t>
            </w:r>
          </w:p>
        </w:tc>
      </w:tr>
      <w:tr>
        <w:trPr>
          <w:trHeight w:val="230"/>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100 mg IR QD</w:t>
            </w:r>
          </w:p>
        </w:tc>
        <w:tc>
          <w:tcPr>
            <w:tcW w:w="1840" w:type="dxa"/>
            <w:vAlign w:val="bottom"/>
          </w:tcPr>
          <w:p>
            <w:pPr>
              <w:spacing w:after="0"/>
              <w:rPr>
                <w:sz w:val="20"/>
                <w:szCs w:val="20"/>
                <w:color w:val="auto"/>
              </w:rPr>
            </w:pPr>
          </w:p>
        </w:tc>
      </w:tr>
      <w:tr>
        <w:trPr>
          <w:trHeight w:val="378"/>
        </w:trPr>
        <w:tc>
          <w:tcPr>
            <w:tcW w:w="2020" w:type="dxa"/>
            <w:vAlign w:val="bottom"/>
          </w:tcPr>
          <w:p>
            <w:pPr>
              <w:ind w:left="126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2">
            <w:col w:w="4060" w:space="220"/>
            <w:col w:w="6860"/>
          </w:cols>
          <w:pgMar w:left="320" w:top="459" w:right="4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Study</w:t>
            </w: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vMerge w:val="restart"/>
          </w:tcPr>
          <w:p>
            <w:pPr>
              <w:jc w:val="right"/>
              <w:ind w:right="756"/>
              <w:spacing w:after="0"/>
              <w:rPr>
                <w:sz w:val="20"/>
                <w:szCs w:val="20"/>
                <w:color w:val="auto"/>
              </w:rPr>
            </w:pPr>
            <w:r>
              <w:rPr>
                <w:rFonts w:ascii="Arial" w:cs="Arial" w:eastAsia="Arial" w:hAnsi="Arial"/>
                <w:sz w:val="14"/>
                <w:szCs w:val="14"/>
                <w:b w:val="1"/>
                <w:bCs w:val="1"/>
                <w:color w:val="auto"/>
              </w:rPr>
              <w:t>Dosage</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Protocol</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(Status)</w:t>
            </w:r>
          </w:p>
        </w:tc>
        <w:tc>
          <w:tcPr>
            <w:tcW w:w="25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Study Design</w:t>
            </w:r>
          </w:p>
        </w:tc>
        <w:tc>
          <w:tcPr>
            <w:tcW w:w="220" w:type="dxa"/>
            <w:vAlign w:val="bottom"/>
          </w:tcPr>
          <w:p>
            <w:pPr>
              <w:spacing w:after="0"/>
              <w:rPr>
                <w:sz w:val="15"/>
                <w:szCs w:val="15"/>
                <w:color w:val="auto"/>
              </w:rPr>
            </w:pPr>
          </w:p>
        </w:tc>
        <w:tc>
          <w:tcPr>
            <w:tcW w:w="21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21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and Regimen</w:t>
            </w:r>
          </w:p>
        </w:tc>
        <w:tc>
          <w:tcPr>
            <w:tcW w:w="200" w:type="dxa"/>
            <w:vAlign w:val="bottom"/>
          </w:tcPr>
          <w:p>
            <w:pPr>
              <w:spacing w:after="0"/>
              <w:rPr>
                <w:sz w:val="15"/>
                <w:szCs w:val="15"/>
                <w:color w:val="auto"/>
              </w:rPr>
            </w:pPr>
          </w:p>
        </w:tc>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Endpoints</w:t>
            </w:r>
          </w:p>
        </w:tc>
        <w:tc>
          <w:tcPr>
            <w:tcW w:w="0" w:type="dxa"/>
            <w:vAlign w:val="bottom"/>
          </w:tcPr>
          <w:p>
            <w:pPr>
              <w:spacing w:after="0"/>
              <w:rPr>
                <w:sz w:val="1"/>
                <w:szCs w:val="1"/>
                <w:color w:val="auto"/>
              </w:rPr>
            </w:pPr>
          </w:p>
        </w:tc>
      </w:tr>
      <w:tr>
        <w:trPr>
          <w:trHeight w:val="296"/>
        </w:trPr>
        <w:tc>
          <w:tcPr>
            <w:tcW w:w="1240" w:type="dxa"/>
            <w:vAlign w:val="bottom"/>
            <w:gridSpan w:val="2"/>
          </w:tcPr>
          <w:p>
            <w:pPr>
              <w:spacing w:after="0"/>
              <w:rPr>
                <w:sz w:val="20"/>
                <w:szCs w:val="20"/>
                <w:color w:val="auto"/>
              </w:rPr>
            </w:pPr>
            <w:r>
              <w:rPr>
                <w:rFonts w:ascii="Arial" w:cs="Arial" w:eastAsia="Arial" w:hAnsi="Arial"/>
                <w:sz w:val="18"/>
                <w:szCs w:val="18"/>
                <w:color w:val="auto"/>
              </w:rPr>
              <w:t>AR18-CT-102</w:t>
            </w:r>
          </w:p>
        </w:tc>
        <w:tc>
          <w:tcPr>
            <w:tcW w:w="2720" w:type="dxa"/>
            <w:vAlign w:val="bottom"/>
            <w:gridSpan w:val="2"/>
          </w:tcPr>
          <w:p>
            <w:pPr>
              <w:spacing w:after="0"/>
              <w:rPr>
                <w:sz w:val="20"/>
                <w:szCs w:val="20"/>
                <w:color w:val="auto"/>
              </w:rPr>
            </w:pPr>
            <w:r>
              <w:rPr>
                <w:rFonts w:ascii="Arial" w:cs="Arial" w:eastAsia="Arial" w:hAnsi="Arial"/>
                <w:sz w:val="18"/>
                <w:szCs w:val="18"/>
                <w:color w:val="auto"/>
              </w:rPr>
              <w:t>Open-label, randomized,</w:t>
            </w:r>
          </w:p>
        </w:tc>
        <w:tc>
          <w:tcPr>
            <w:tcW w:w="2120" w:type="dxa"/>
            <w:vAlign w:val="bottom"/>
          </w:tcPr>
          <w:p>
            <w:pPr>
              <w:spacing w:after="0"/>
              <w:rPr>
                <w:sz w:val="20"/>
                <w:szCs w:val="20"/>
                <w:color w:val="auto"/>
              </w:rPr>
            </w:pPr>
            <w:r>
              <w:rPr>
                <w:rFonts w:ascii="Arial" w:cs="Arial" w:eastAsia="Arial" w:hAnsi="Arial"/>
                <w:sz w:val="18"/>
                <w:szCs w:val="18"/>
                <w:color w:val="auto"/>
              </w:rPr>
              <w:t>36 males with</w:t>
            </w:r>
          </w:p>
        </w:tc>
        <w:tc>
          <w:tcPr>
            <w:tcW w:w="2820" w:type="dxa"/>
            <w:vAlign w:val="bottom"/>
            <w:gridSpan w:val="4"/>
          </w:tcPr>
          <w:p>
            <w:pPr>
              <w:jc w:val="right"/>
              <w:ind w:right="916"/>
              <w:spacing w:after="0"/>
              <w:rPr>
                <w:sz w:val="20"/>
                <w:szCs w:val="20"/>
                <w:color w:val="auto"/>
              </w:rPr>
            </w:pPr>
            <w:r>
              <w:rPr>
                <w:rFonts w:ascii="Arial" w:cs="Arial" w:eastAsia="Arial" w:hAnsi="Arial"/>
                <w:sz w:val="18"/>
                <w:szCs w:val="18"/>
                <w:color w:val="auto"/>
              </w:rPr>
              <w:t>18+   10 mg XR BID</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Safety,</w:t>
            </w: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(Closed)</w:t>
            </w:r>
          </w:p>
        </w:tc>
        <w:tc>
          <w:tcPr>
            <w:tcW w:w="2720" w:type="dxa"/>
            <w:vAlign w:val="bottom"/>
            <w:gridSpan w:val="2"/>
          </w:tcPr>
          <w:p>
            <w:pPr>
              <w:spacing w:after="0"/>
              <w:rPr>
                <w:sz w:val="20"/>
                <w:szCs w:val="20"/>
                <w:color w:val="auto"/>
              </w:rPr>
            </w:pPr>
            <w:r>
              <w:rPr>
                <w:rFonts w:ascii="Arial" w:cs="Arial" w:eastAsia="Arial" w:hAnsi="Arial"/>
                <w:sz w:val="18"/>
                <w:szCs w:val="18"/>
                <w:color w:val="auto"/>
              </w:rPr>
              <w:t>two-stage phase 1 study and a</w:t>
            </w:r>
          </w:p>
        </w:tc>
        <w:tc>
          <w:tcPr>
            <w:tcW w:w="2120" w:type="dxa"/>
            <w:vAlign w:val="bottom"/>
          </w:tcPr>
          <w:p>
            <w:pPr>
              <w:spacing w:after="0"/>
              <w:rPr>
                <w:sz w:val="20"/>
                <w:szCs w:val="20"/>
                <w:color w:val="auto"/>
              </w:rPr>
            </w:pPr>
            <w:r>
              <w:rPr>
                <w:rFonts w:ascii="Arial" w:cs="Arial" w:eastAsia="Arial" w:hAnsi="Arial"/>
                <w:sz w:val="18"/>
                <w:szCs w:val="18"/>
                <w:color w:val="auto"/>
                <w:w w:val="94"/>
              </w:rPr>
              <w:t>adenocarcinoma of prostate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jc w:val="right"/>
              <w:ind w:right="916"/>
              <w:spacing w:after="0"/>
              <w:rPr>
                <w:sz w:val="20"/>
                <w:szCs w:val="20"/>
                <w:color w:val="auto"/>
              </w:rPr>
            </w:pPr>
            <w:r>
              <w:rPr>
                <w:rFonts w:ascii="Arial" w:cs="Arial" w:eastAsia="Arial" w:hAnsi="Arial"/>
                <w:sz w:val="18"/>
                <w:szCs w:val="18"/>
                <w:color w:val="auto"/>
                <w:w w:val="93"/>
              </w:rPr>
              <w:t>20 mg XR BID</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RP2D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9"/>
              </w:rPr>
              <w:t>phase 2 expansion in combination</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jc w:val="right"/>
              <w:ind w:right="916"/>
              <w:spacing w:after="0"/>
              <w:rPr>
                <w:sz w:val="20"/>
                <w:szCs w:val="20"/>
                <w:color w:val="auto"/>
              </w:rPr>
            </w:pPr>
            <w:r>
              <w:rPr>
                <w:rFonts w:ascii="Arial" w:cs="Arial" w:eastAsia="Arial" w:hAnsi="Arial"/>
                <w:sz w:val="18"/>
                <w:szCs w:val="18"/>
                <w:color w:val="auto"/>
                <w:w w:val="93"/>
              </w:rPr>
              <w:t>30 mg XR BID</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PK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with abiraterone in males with</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jc w:val="right"/>
              <w:ind w:right="916"/>
              <w:spacing w:after="0"/>
              <w:rPr>
                <w:sz w:val="20"/>
                <w:szCs w:val="20"/>
                <w:color w:val="auto"/>
              </w:rPr>
            </w:pPr>
            <w:r>
              <w:rPr>
                <w:rFonts w:ascii="Arial" w:cs="Arial" w:eastAsia="Arial" w:hAnsi="Arial"/>
                <w:sz w:val="18"/>
                <w:szCs w:val="18"/>
                <w:color w:val="auto"/>
                <w:w w:val="93"/>
              </w:rPr>
              <w:t>40 mg XR BID</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6"/>
              </w:rPr>
              <w:t>castration-resistant prostate cancer</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jc w:val="right"/>
              <w:ind w:right="916"/>
              <w:spacing w:after="0"/>
              <w:rPr>
                <w:sz w:val="20"/>
                <w:szCs w:val="20"/>
                <w:color w:val="auto"/>
              </w:rPr>
            </w:pPr>
            <w:r>
              <w:rPr>
                <w:rFonts w:ascii="Arial" w:cs="Arial" w:eastAsia="Arial" w:hAnsi="Arial"/>
                <w:sz w:val="18"/>
                <w:szCs w:val="18"/>
                <w:color w:val="auto"/>
                <w:w w:val="93"/>
              </w:rPr>
              <w:t>50 mg XR BID</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240" w:type="dxa"/>
            <w:vAlign w:val="bottom"/>
            <w:gridSpan w:val="2"/>
          </w:tcPr>
          <w:p>
            <w:pPr>
              <w:spacing w:after="0"/>
              <w:rPr>
                <w:sz w:val="20"/>
                <w:szCs w:val="20"/>
                <w:color w:val="auto"/>
              </w:rPr>
            </w:pPr>
            <w:r>
              <w:rPr>
                <w:rFonts w:ascii="Arial" w:cs="Arial" w:eastAsia="Arial" w:hAnsi="Arial"/>
                <w:sz w:val="18"/>
                <w:szCs w:val="18"/>
                <w:color w:val="auto"/>
              </w:rPr>
              <w:t>Onward</w:t>
            </w:r>
          </w:p>
        </w:tc>
        <w:tc>
          <w:tcPr>
            <w:tcW w:w="2720" w:type="dxa"/>
            <w:vAlign w:val="bottom"/>
            <w:gridSpan w:val="2"/>
          </w:tcPr>
          <w:p>
            <w:pPr>
              <w:spacing w:after="0"/>
              <w:rPr>
                <w:sz w:val="20"/>
                <w:szCs w:val="20"/>
                <w:color w:val="auto"/>
              </w:rPr>
            </w:pPr>
            <w:r>
              <w:rPr>
                <w:rFonts w:ascii="Arial" w:cs="Arial" w:eastAsia="Arial" w:hAnsi="Arial"/>
                <w:sz w:val="18"/>
                <w:szCs w:val="18"/>
                <w:color w:val="auto"/>
              </w:rPr>
              <w:t>Multi-center, open-label,</w:t>
            </w:r>
          </w:p>
        </w:tc>
        <w:tc>
          <w:tcPr>
            <w:tcW w:w="2120" w:type="dxa"/>
            <w:vAlign w:val="bottom"/>
          </w:tcPr>
          <w:p>
            <w:pPr>
              <w:spacing w:after="0"/>
              <w:rPr>
                <w:sz w:val="20"/>
                <w:szCs w:val="20"/>
                <w:color w:val="auto"/>
              </w:rPr>
            </w:pPr>
            <w:r>
              <w:rPr>
                <w:rFonts w:ascii="Arial" w:cs="Arial" w:eastAsia="Arial" w:hAnsi="Arial"/>
                <w:sz w:val="18"/>
                <w:szCs w:val="18"/>
                <w:color w:val="auto"/>
              </w:rPr>
              <w:t>20 females, recurrent or</w:t>
            </w:r>
          </w:p>
        </w:tc>
        <w:tc>
          <w:tcPr>
            <w:tcW w:w="2820" w:type="dxa"/>
            <w:vAlign w:val="bottom"/>
            <w:gridSpan w:val="4"/>
          </w:tcPr>
          <w:p>
            <w:pPr>
              <w:jc w:val="right"/>
              <w:ind w:right="916"/>
              <w:spacing w:after="0"/>
              <w:rPr>
                <w:sz w:val="20"/>
                <w:szCs w:val="20"/>
                <w:color w:val="auto"/>
              </w:rPr>
            </w:pPr>
            <w:r>
              <w:rPr>
                <w:rFonts w:ascii="Arial" w:cs="Arial" w:eastAsia="Arial" w:hAnsi="Arial"/>
                <w:sz w:val="18"/>
                <w:szCs w:val="18"/>
                <w:color w:val="auto"/>
              </w:rPr>
              <w:t>18+   50 mg XR BID</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Safety,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220</w:t>
            </w:r>
          </w:p>
        </w:tc>
        <w:tc>
          <w:tcPr>
            <w:tcW w:w="7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randomized, two-stage study with</w:t>
            </w:r>
          </w:p>
        </w:tc>
        <w:tc>
          <w:tcPr>
            <w:tcW w:w="2120" w:type="dxa"/>
            <w:vAlign w:val="bottom"/>
          </w:tcPr>
          <w:p>
            <w:pPr>
              <w:spacing w:after="0"/>
              <w:rPr>
                <w:sz w:val="20"/>
                <w:szCs w:val="20"/>
                <w:color w:val="auto"/>
              </w:rPr>
            </w:pPr>
            <w:r>
              <w:rPr>
                <w:rFonts w:ascii="Arial" w:cs="Arial" w:eastAsia="Arial" w:hAnsi="Arial"/>
                <w:sz w:val="18"/>
                <w:szCs w:val="18"/>
                <w:color w:val="auto"/>
              </w:rPr>
              <w:t>metastatic PR+ cancer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Efficacy</w:t>
            </w: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(Active)</w:t>
            </w:r>
          </w:p>
        </w:tc>
        <w:tc>
          <w:tcPr>
            <w:tcW w:w="2720" w:type="dxa"/>
            <w:vAlign w:val="bottom"/>
            <w:gridSpan w:val="2"/>
          </w:tcPr>
          <w:p>
            <w:pPr>
              <w:spacing w:after="0"/>
              <w:rPr>
                <w:sz w:val="20"/>
                <w:szCs w:val="20"/>
                <w:color w:val="auto"/>
              </w:rPr>
            </w:pPr>
            <w:r>
              <w:rPr>
                <w:rFonts w:ascii="Arial" w:cs="Arial" w:eastAsia="Arial" w:hAnsi="Arial"/>
                <w:sz w:val="18"/>
                <w:szCs w:val="18"/>
                <w:color w:val="auto"/>
                <w:w w:val="96"/>
              </w:rPr>
              <w:t>a phase 2 expansion component in</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patients with PR+ ovarian or</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endometrioid adenocarcinoma</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40" w:type="dxa"/>
            <w:vAlign w:val="bottom"/>
            <w:gridSpan w:val="2"/>
          </w:tcPr>
          <w:p>
            <w:pPr>
              <w:spacing w:after="0"/>
              <w:rPr>
                <w:sz w:val="20"/>
                <w:szCs w:val="20"/>
                <w:color w:val="auto"/>
              </w:rPr>
            </w:pPr>
            <w:r>
              <w:rPr>
                <w:rFonts w:ascii="Arial" w:cs="Arial" w:eastAsia="Arial" w:hAnsi="Arial"/>
                <w:sz w:val="18"/>
                <w:szCs w:val="18"/>
                <w:color w:val="auto"/>
              </w:rPr>
              <w:t>Single Patient</w:t>
            </w:r>
          </w:p>
        </w:tc>
        <w:tc>
          <w:tcPr>
            <w:tcW w:w="2720" w:type="dxa"/>
            <w:vAlign w:val="bottom"/>
            <w:gridSpan w:val="2"/>
          </w:tcPr>
          <w:p>
            <w:pPr>
              <w:spacing w:after="0"/>
              <w:rPr>
                <w:sz w:val="20"/>
                <w:szCs w:val="20"/>
                <w:color w:val="auto"/>
              </w:rPr>
            </w:pPr>
            <w:r>
              <w:rPr>
                <w:rFonts w:ascii="Arial" w:cs="Arial" w:eastAsia="Arial" w:hAnsi="Arial"/>
                <w:sz w:val="18"/>
                <w:szCs w:val="18"/>
                <w:color w:val="auto"/>
              </w:rPr>
              <w:t>Single patient IND in patients</w:t>
            </w:r>
          </w:p>
        </w:tc>
        <w:tc>
          <w:tcPr>
            <w:tcW w:w="2120" w:type="dxa"/>
            <w:vAlign w:val="bottom"/>
          </w:tcPr>
          <w:p>
            <w:pPr>
              <w:spacing w:after="0"/>
              <w:rPr>
                <w:sz w:val="20"/>
                <w:szCs w:val="20"/>
                <w:color w:val="auto"/>
              </w:rPr>
            </w:pPr>
            <w:r>
              <w:rPr>
                <w:rFonts w:ascii="Arial" w:cs="Arial" w:eastAsia="Arial" w:hAnsi="Arial"/>
                <w:sz w:val="18"/>
                <w:szCs w:val="18"/>
                <w:color w:val="auto"/>
              </w:rPr>
              <w:t>2 females, recurrent or</w:t>
            </w:r>
          </w:p>
        </w:tc>
        <w:tc>
          <w:tcPr>
            <w:tcW w:w="2820" w:type="dxa"/>
            <w:vAlign w:val="bottom"/>
            <w:gridSpan w:val="4"/>
          </w:tcPr>
          <w:p>
            <w:pPr>
              <w:jc w:val="right"/>
              <w:ind w:right="916"/>
              <w:spacing w:after="0"/>
              <w:rPr>
                <w:sz w:val="20"/>
                <w:szCs w:val="20"/>
                <w:color w:val="auto"/>
              </w:rPr>
            </w:pPr>
            <w:r>
              <w:rPr>
                <w:rFonts w:ascii="Arial" w:cs="Arial" w:eastAsia="Arial" w:hAnsi="Arial"/>
                <w:sz w:val="18"/>
                <w:szCs w:val="18"/>
                <w:color w:val="auto"/>
              </w:rPr>
              <w:t>18+   50 mg XR BID</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Safety, Efficacy</w:t>
            </w: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INDs</w:t>
            </w:r>
          </w:p>
        </w:tc>
        <w:tc>
          <w:tcPr>
            <w:tcW w:w="2720" w:type="dxa"/>
            <w:vAlign w:val="bottom"/>
            <w:gridSpan w:val="2"/>
          </w:tcPr>
          <w:p>
            <w:pPr>
              <w:spacing w:after="0"/>
              <w:rPr>
                <w:sz w:val="20"/>
                <w:szCs w:val="20"/>
                <w:color w:val="auto"/>
              </w:rPr>
            </w:pPr>
            <w:r>
              <w:rPr>
                <w:rFonts w:ascii="Arial" w:cs="Arial" w:eastAsia="Arial" w:hAnsi="Arial"/>
                <w:sz w:val="18"/>
                <w:szCs w:val="18"/>
                <w:color w:val="auto"/>
              </w:rPr>
              <w:t>with PR+ ovarian or endometrioid</w:t>
            </w:r>
          </w:p>
        </w:tc>
        <w:tc>
          <w:tcPr>
            <w:tcW w:w="2120" w:type="dxa"/>
            <w:vAlign w:val="bottom"/>
          </w:tcPr>
          <w:p>
            <w:pPr>
              <w:spacing w:after="0"/>
              <w:rPr>
                <w:sz w:val="20"/>
                <w:szCs w:val="20"/>
                <w:color w:val="auto"/>
              </w:rPr>
            </w:pPr>
            <w:r>
              <w:rPr>
                <w:rFonts w:ascii="Arial" w:cs="Arial" w:eastAsia="Arial" w:hAnsi="Arial"/>
                <w:sz w:val="18"/>
                <w:szCs w:val="18"/>
                <w:color w:val="auto"/>
              </w:rPr>
              <w:t>metastatic PR+ cancer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(Closed)</w:t>
            </w:r>
          </w:p>
        </w:tc>
        <w:tc>
          <w:tcPr>
            <w:tcW w:w="2720" w:type="dxa"/>
            <w:vAlign w:val="bottom"/>
            <w:gridSpan w:val="2"/>
          </w:tcPr>
          <w:p>
            <w:pPr>
              <w:spacing w:after="0"/>
              <w:rPr>
                <w:sz w:val="20"/>
                <w:szCs w:val="20"/>
                <w:color w:val="auto"/>
              </w:rPr>
            </w:pPr>
            <w:r>
              <w:rPr>
                <w:rFonts w:ascii="Arial" w:cs="Arial" w:eastAsia="Arial" w:hAnsi="Arial"/>
                <w:sz w:val="18"/>
                <w:szCs w:val="18"/>
                <w:color w:val="auto"/>
              </w:rPr>
              <w:t>adenocarcinoma</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 BID: twice per day; IR: immediate release; PK: pharmacokinetic; PR: progesterone receptor; QD: once per day; XR: extended release.</w:t>
      </w:r>
    </w:p>
    <w:p>
      <w:pPr>
        <w:spacing w:after="0" w:line="23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Thirty-one subjects (27%) of the total onapristone safety set (</w:t>
      </w:r>
      <w:r>
        <w:rPr>
          <w:rFonts w:ascii="Arial" w:cs="Arial" w:eastAsia="Arial" w:hAnsi="Arial"/>
          <w:sz w:val="18"/>
          <w:szCs w:val="18"/>
          <w:i w:val="1"/>
          <w:iCs w:val="1"/>
          <w:color w:val="auto"/>
        </w:rPr>
        <w:t>n</w:t>
      </w:r>
      <w:r>
        <w:rPr>
          <w:rFonts w:ascii="Arial" w:cs="Arial" w:eastAsia="Arial" w:hAnsi="Arial"/>
          <w:sz w:val="18"/>
          <w:szCs w:val="18"/>
          <w:color w:val="auto"/>
        </w:rPr>
        <w:t xml:space="preserve"> = 128) experienced any treatment emergent adverse event (TEAE), as shown below. Adverse events were generally consistent across all defined groups. Thirteen subjects experienced Grade 3 or Grade 4 TEAEs that were deemed related to ONA-XR with no correlation across dosing groups. The most common drug-related TEAEs included an increase in gamma-glutamyltransferase in nine subjects (7%) and an increase in aspartate aminsotranferase in four subjects (3%). These events are generally consistent with prior anti-progestin experience, including onapristone. In addition, there were no clinically significant post-dose changes in electrocardiograms (ECGs), vital signs, or safety laboratory results.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emergent adverse events (as of December 31, 2020)</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9"/>
              </w:rPr>
              <w:t>Overall</w:t>
            </w:r>
          </w:p>
        </w:tc>
        <w:tc>
          <w:tcPr>
            <w:tcW w:w="4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10mg BID</w:t>
            </w:r>
          </w:p>
        </w:tc>
        <w:tc>
          <w:tcPr>
            <w:tcW w:w="620" w:type="dxa"/>
            <w:vAlign w:val="bottom"/>
            <w:gridSpan w:val="2"/>
          </w:tcPr>
          <w:p>
            <w:pPr>
              <w:spacing w:after="0"/>
              <w:rPr>
                <w:sz w:val="20"/>
                <w:szCs w:val="20"/>
                <w:color w:val="auto"/>
              </w:rPr>
            </w:pPr>
            <w:r>
              <w:rPr>
                <w:rFonts w:ascii="Arial" w:cs="Arial" w:eastAsia="Arial" w:hAnsi="Arial"/>
                <w:sz w:val="14"/>
                <w:szCs w:val="14"/>
                <w:color w:val="auto"/>
                <w:w w:val="96"/>
              </w:rPr>
              <w:t>20mg BID</w:t>
            </w:r>
          </w:p>
        </w:tc>
        <w:tc>
          <w:tcPr>
            <w:tcW w:w="4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30mg BID</w:t>
            </w:r>
          </w:p>
        </w:tc>
        <w:tc>
          <w:tcPr>
            <w:tcW w:w="1060" w:type="dxa"/>
            <w:vAlign w:val="bottom"/>
            <w:gridSpan w:val="3"/>
          </w:tcPr>
          <w:p>
            <w:pPr>
              <w:spacing w:after="0"/>
              <w:rPr>
                <w:sz w:val="20"/>
                <w:szCs w:val="20"/>
                <w:color w:val="auto"/>
              </w:rPr>
            </w:pPr>
            <w:r>
              <w:rPr>
                <w:rFonts w:ascii="Arial" w:cs="Arial" w:eastAsia="Arial" w:hAnsi="Arial"/>
                <w:sz w:val="14"/>
                <w:szCs w:val="14"/>
                <w:color w:val="auto"/>
              </w:rPr>
              <w:t>40mg BID</w:t>
            </w:r>
          </w:p>
        </w:tc>
        <w:tc>
          <w:tcPr>
            <w:tcW w:w="1040" w:type="dxa"/>
            <w:vAlign w:val="bottom"/>
            <w:gridSpan w:val="3"/>
          </w:tcPr>
          <w:p>
            <w:pPr>
              <w:spacing w:after="0"/>
              <w:rPr>
                <w:sz w:val="20"/>
                <w:szCs w:val="20"/>
                <w:color w:val="auto"/>
              </w:rPr>
            </w:pPr>
            <w:r>
              <w:rPr>
                <w:rFonts w:ascii="Arial" w:cs="Arial" w:eastAsia="Arial" w:hAnsi="Arial"/>
                <w:sz w:val="14"/>
                <w:szCs w:val="14"/>
                <w:color w:val="auto"/>
              </w:rPr>
              <w:t>50mg BID</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100mg QD</w:t>
            </w: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Arial" w:cs="Arial" w:eastAsia="Arial" w:hAnsi="Arial"/>
                <w:sz w:val="14"/>
                <w:szCs w:val="14"/>
                <w:color w:val="auto"/>
                <w:w w:val="90"/>
              </w:rPr>
              <w:t>System Organ Class Preferred Term</w:t>
            </w:r>
          </w:p>
        </w:tc>
        <w:tc>
          <w:tcPr>
            <w:tcW w:w="136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(N=128)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(N=16)</w:t>
            </w:r>
          </w:p>
        </w:tc>
        <w:tc>
          <w:tcPr>
            <w:tcW w:w="10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color w:val="auto"/>
              </w:rPr>
              <w:t>(N=18)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(N=15)</w:t>
            </w: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(N=14)</w:t>
            </w:r>
          </w:p>
        </w:tc>
        <w:tc>
          <w:tcPr>
            <w:tcW w:w="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(N=47)</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5"/>
              </w:rPr>
              <w:t>(N=6)</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auto"/>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5"/>
              </w:rPr>
              <w:t>n (%)</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n (%)</w:t>
            </w:r>
          </w:p>
        </w:tc>
        <w:tc>
          <w:tcPr>
            <w:tcW w:w="100" w:type="dxa"/>
            <w:vAlign w:val="bottom"/>
          </w:tcPr>
          <w:p>
            <w:pPr>
              <w:spacing w:after="0"/>
              <w:rPr>
                <w:sz w:val="15"/>
                <w:szCs w:val="15"/>
                <w:color w:val="auto"/>
              </w:rPr>
            </w:pPr>
          </w:p>
        </w:tc>
        <w:tc>
          <w:tcPr>
            <w:tcW w:w="520" w:type="dxa"/>
            <w:vAlign w:val="bottom"/>
          </w:tcPr>
          <w:p>
            <w:pPr>
              <w:ind w:left="40"/>
              <w:spacing w:after="0" w:line="154" w:lineRule="exact"/>
              <w:rPr>
                <w:sz w:val="20"/>
                <w:szCs w:val="20"/>
                <w:color w:val="auto"/>
              </w:rPr>
            </w:pPr>
            <w:r>
              <w:rPr>
                <w:rFonts w:ascii="Arial" w:cs="Arial" w:eastAsia="Arial" w:hAnsi="Arial"/>
                <w:sz w:val="14"/>
                <w:szCs w:val="14"/>
                <w:color w:val="auto"/>
              </w:rPr>
              <w:t>n (%)</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n (%)</w:t>
            </w:r>
          </w:p>
        </w:tc>
        <w:tc>
          <w:tcPr>
            <w:tcW w:w="100" w:type="dxa"/>
            <w:vAlign w:val="bottom"/>
          </w:tcPr>
          <w:p>
            <w:pPr>
              <w:spacing w:after="0"/>
              <w:rPr>
                <w:sz w:val="15"/>
                <w:szCs w:val="15"/>
                <w:color w:val="auto"/>
              </w:rPr>
            </w:pPr>
          </w:p>
        </w:tc>
        <w:tc>
          <w:tcPr>
            <w:tcW w:w="96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n (%)</w:t>
            </w:r>
          </w:p>
        </w:tc>
        <w:tc>
          <w:tcPr>
            <w:tcW w:w="80" w:type="dxa"/>
            <w:vAlign w:val="bottom"/>
          </w:tcPr>
          <w:p>
            <w:pPr>
              <w:spacing w:after="0"/>
              <w:rPr>
                <w:sz w:val="15"/>
                <w:szCs w:val="15"/>
                <w:color w:val="auto"/>
              </w:rPr>
            </w:pPr>
          </w:p>
        </w:tc>
        <w:tc>
          <w:tcPr>
            <w:tcW w:w="9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n (%)*</w:t>
            </w:r>
          </w:p>
        </w:tc>
        <w:tc>
          <w:tcPr>
            <w:tcW w:w="660" w:type="dxa"/>
            <w:vAlign w:val="bottom"/>
          </w:tcPr>
          <w:p>
            <w:pPr>
              <w:jc w:val="center"/>
              <w:spacing w:after="0" w:line="154" w:lineRule="exact"/>
              <w:rPr>
                <w:sz w:val="20"/>
                <w:szCs w:val="20"/>
                <w:color w:val="auto"/>
              </w:rPr>
            </w:pPr>
            <w:r>
              <w:rPr>
                <w:rFonts w:ascii="Arial" w:cs="Arial" w:eastAsia="Arial" w:hAnsi="Arial"/>
                <w:sz w:val="14"/>
                <w:szCs w:val="14"/>
                <w:color w:val="auto"/>
                <w:w w:val="95"/>
              </w:rPr>
              <w:t>n (%)</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Any Serious TEAE</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34</w:t>
            </w:r>
          </w:p>
        </w:tc>
        <w:tc>
          <w:tcPr>
            <w:tcW w:w="3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7"/>
              </w:rPr>
              <w:t>(27)</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7</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(44)</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7</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(39)</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6</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(40)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3</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(21)</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9</w:t>
            </w: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(19)</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 (17)</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Ascites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ind w:left="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540" w:type="dxa"/>
            <w:vAlign w:val="bottom"/>
          </w:tcPr>
          <w:p>
            <w:pPr>
              <w:ind w:left="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Vomiting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Chest pain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ind w:left="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Pneumonia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2</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Femur fracture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ind w:left="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540" w:type="dxa"/>
            <w:vAlign w:val="bottom"/>
          </w:tcPr>
          <w:p>
            <w:pPr>
              <w:ind w:left="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Anemia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 (17)</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Atrial fibrillation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540" w:type="dxa"/>
            <w:vAlign w:val="bottom"/>
          </w:tcPr>
          <w:p>
            <w:pPr>
              <w:ind w:left="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Syncope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1</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Retinal artery occlusion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Abdominal pain upper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Upper gastrointestinal hemorrhage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Volvulus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1</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Death</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540" w:type="dxa"/>
            <w:vAlign w:val="bottom"/>
          </w:tcPr>
          <w:p>
            <w:pPr>
              <w:ind w:left="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Pyrexia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Portal vein thrombosis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Abdominal wall abscess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Post procedural cellulitis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Pyelonephritis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 (17)</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Sepsis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540" w:type="dxa"/>
            <w:vAlign w:val="bottom"/>
          </w:tcPr>
          <w:p>
            <w:pPr>
              <w:ind w:left="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Aspartate aminotransferase increased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Hypercalcaemia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Hyperkalaemia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Hyponatraemia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Hydronephrosis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 (17)</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Urinary retention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20"/>
                <w:szCs w:val="20"/>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1</w:t>
            </w:r>
          </w:p>
        </w:tc>
        <w:tc>
          <w:tcPr>
            <w:tcW w:w="520" w:type="dxa"/>
            <w:vAlign w:val="bottom"/>
          </w:tcPr>
          <w:p>
            <w:pPr>
              <w:ind w:left="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0</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Severity grade as per the National Cancer Institute Common Terminology Criteria for Adverse Events (CTCAE) v.5.0.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Advanced, Recurrent Metastatic Breast Cancer</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In a multicenter, open label, Phase 1 trial, Cottu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(2018) enrolled 52 adult patients with PR+ tumors, including 20 patients with breast cancer. Patients were randomized to five cohorts of ONA-XR tablets of 10, 20, 30, 40 or 50 mg BID, or immediate release 100 mg QD until progressive disease or intolerability. All patients were heavily pre-treated; prior treatments included median (range): chemotherapy 4 (1–11), endocrine therapy 1 (1–7), biologic/small molecule therapy 1 (1–2), and radiotherapy 1 (1–3).</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Among the 20 heavily pre-treated breast cancer patients, no CR or partial response were observed, 7 patients had SD, including 3 patients with SD lasting for at least 24 weeks (15% clinical benefit rate). The number of prior therapies was 3, 7 and 7, respectively, for these 3 patients and 2 of these 3 patients had liver metastases at baseline. The study authors concluded that the new XR formulation of onapristone was well tolerated and resulted in meaningful clinical benefit in heavily pretreated patients with breast cancer.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only treatment-related serious adverse events were G3 LFT elevations (n = 4; 8%), all associated with disease progression in the liver as reviewed. These occurred across dose cohorts: 10 mg BID (AST increased, bilirubin increased), 20 mg BID (LFTs abnormal), and 40 mg BID (bilirubin increased). No relationship was found between adverse events and study drug exposure.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 treatment-related deaths were reported. One patient died within 30 days of last dose (respiratory distress syndrome due to progressive lung metastases). No other significant adverse events attributable to the mechanism of action were recorded.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Advanced, Recurrent Metastatic Gynecologic Cancers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Phase I dose escalation study of ONA-XR in breast, endometrial, and ovarian cancer patients found all doses tested to be safe and well tolerated, with 50mg BID administered orally recommended as the Phase 2 dose. The most common treatment-related adverse events reported by investigators (³ 10%) were nausea, fatigue and constipation. In that Phase I study, 33% of ovarian and 25% of endometrial cancer patients were seen to have sustained disease control.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Focusing on the ovarian cancer (n=13) subpopulation, all PR+ ovarian patients were heavily pre-treated; prior treatments included median (range):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chemotherapy 4 (2–6), and treatment lines in metastatic setting 4 (2-10). All patients were platinum resistant. Clinical data is shown below.</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Phase 1 ovarian cancer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186045" cy="2194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FDA Fast Track designation for PR+ ovarian cancer</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August 2020, we received FDA Fast Track designation for ONA-XR in PR+ ovarian cancer. 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plan for ONA-XR</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PR signaling pathway has been implicated in female hormone-dependent cancers, including breast, ovarian, and endometrial cancer. Our clinical development effort for ONA-XR, a selective and potentially potent small molecule antagonist of PR, will initially focus on indications where there is evidence suggesting PR-mediated signaling contributes to resistance and disease progression. In 2019, a Phase 2 investigator-sponsored trial was initiated in collaboration with Memorial Sloan Kettering Cancer Center to evaluate ONA-XR in women with ovarian cancer who express high levels of progesterone receptor (PR+) and we expect to report preliminary data from this trial in the second half of 2021. In 2020, a Phase 2 investigator-sponsored trial was initiated in collaboration with Thomas Jefferson University to evaluate ONA-XR in combination with Arimidex (anastrozole) in PR+ endometrial cancer and we initiated a Phase 0 trial of ONA-XR in a window of opportunity study in primary breast cancer, and we expect to report preliminary data in the first half of 2022 and final data in late 2022 for each trial, respectively. In 2021, a Phase 1b/2 investigator-sponsored trial was initiated in collaboration with Memorial Sloan Kettering Cancer Center to evaluate ONA-XR in combination with Ibrance (palbociclib) and Femara (leterozole) in first line metastatic breast cancer patients with biochemically recurrent disease, defined as circulating tumor DNA (ctDNA) positive. This is potentially a new clinical opportunity for the estimated 20% of 1L patients who are at high risk of early disease progression on Ibrance and Femara therapy. Also in 2021, a Phase 2 investigator-sponsored trial was initiated in collaboration with Wisconsin Oncology Network to evaluate ONA-XR in combination with Faslodex (fulvestrant) in second or third line metastatic breast cancer. This trial is intended to establish ONA-XR plus Faslodex drug synergy after treatment failure of CDK4/6 inhibitor and/or PIK3α inhibitors. We expect to report preliminary data from one of these trials in the first half of 2022. In 2021, we also initiated a sub-study of our Phase 2 trial in second or third line metastatic breast cancer, which evaluates the F-FFNP PET uptake in breast tumors, with preliminary data expected to come in the first half of 2022.</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CLDN6xCD3 bispecific antibody program: CLDN6xCD3 bsAb</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Background CLDN6</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Claudin 6 (CLDN6) is an oncofetal tight junction protein involved in the cell-to-cell adhesion of epithelial and endothelial cell sheets. Although silenced in healthy adult human tissues, CLDN6 expression has been found in ovarian, gastric, pediatric, and other cancer tissues and can lead to a poor prognosis. Monoclonal antibody (MAb) discovery against CLDN6 has been encumbered by the high homology of endogenously expressed claudin 9 (CLDN9), which varies from CLDN6 by only 3 amino acids in the extracellular domain.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171450</wp:posOffset>
            </wp:positionV>
            <wp:extent cx="2168525" cy="1800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85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Rationale for bispecific antibody</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Cytotoxic T cells are considered to be the most potent effector cells of the immune system. As a consequence, broad T cell activation can lead to significant and sometimes lethal side effects. Therefore, to harness the potential of cytotoxic T cells, therapeutic strategies seek to pair T cell activation with drug targets that are restricted to cancer tissue so as to avoid unwanted toxicity. CLDN6 expression is restricted to various cancer types (i.e., a tumor specific antigen or TSA), making it an ideal target to help T cells recognize and eliminate cancer cells. Recently, a class of bispecific antibodies (TSAxCD3) with a native immunoglobulin format has emerged that can efficiently trigger T cell–mediated killing of tumor cells by linking a T cell to a tumor cell and activating the CD3/t cell receptor complex, as shown above.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CLDN6 expression in cancer versus normal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171450</wp:posOffset>
            </wp:positionV>
            <wp:extent cx="3651885" cy="2322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5188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Source: Cancer RNAseq data from The Cancer Genome Atlas (TCGA); normal tissue RNAseq data from the Genotype-Tissue Expression (GTEx) project.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CLDN6xCD3 bsAb, is an anti-CD3 x anti-Claudin 6 (CLDN6xCD3) antigen bispecific monoclonal antibody (bsAbs) that is intended to redirect T-cell-mediated lysis toward malignant cells expressing CLDN6. As shown below, preclinical studies demonstrate that CLDN6xCD3 bsAb exhibits selectivity for CLDN6 over CLDN9 and that CLDN6xCD3 bsAb mediates strong T-cell activation and specific lysis of cells expressing CLDN6.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with a prototype bispecific of CLDN6xCD3 bsAb demonstrated dose-dependent tumor regressions in an established ovarian cancer xenograft model with an intact immune system.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CLDN6 development programs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performed head-to-head in vitro studies comparing internally developed CLDN6 monoclonal antibodies and those from BioNTech and Abbvie/Stemcentryx. Antibodies for BioNTech and Abbive/Stemcentryx were derived from publicly available reports published independent of the Company and may differ in material ways from the actual antibody that is in development.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results presented in the below table have been derived from publicly available reports of clinical trials run independently of our trials or meta-analyses of such clinical results. We have not performed any head-to-head trials comparing any of these other therapies with CLDN6xCD3 bsAb. As such, the results of these other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clinical trials may not be comparable to clinical results for CLDN6xCD3 bsAb. The design of these other trials vary in material ways from the design of the clinical trials for CLDN6xCD3 bsAb. For further information and to understand these material differences, you should read the relevant reports or meta-analyses.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While BioNTech and Abbvie/Stemcentryx’s product candidates are not intended to compete with CLDN6xCD3 bsAb, it is useful to compare the symptomatic results achieved by their devices and provides a good proxy to understand the adoption of these therapies.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Context</w:t>
            </w:r>
          </w:p>
        </w:tc>
        <w:tc>
          <w:tcPr>
            <w:tcW w:w="2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BioNTech</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1"/>
              </w:rPr>
              <w:t>Abbvie /</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Stemcentryx</w:t>
            </w:r>
          </w:p>
        </w:tc>
        <w:tc>
          <w:tcPr>
            <w:tcW w:w="0" w:type="dxa"/>
            <w:vAlign w:val="bottom"/>
          </w:tcPr>
          <w:p>
            <w:pPr>
              <w:spacing w:after="0"/>
              <w:rPr>
                <w:sz w:val="1"/>
                <w:szCs w:val="1"/>
                <w:color w:val="auto"/>
              </w:rPr>
            </w:pPr>
          </w:p>
        </w:tc>
      </w:tr>
      <w:tr>
        <w:trPr>
          <w:trHeight w:val="195"/>
        </w:trPr>
        <w:tc>
          <w:tcPr>
            <w:tcW w:w="3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Program</w:t>
            </w:r>
          </w:p>
        </w:tc>
        <w:tc>
          <w:tcPr>
            <w:tcW w:w="2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CLDN6xCD3 bsAb</w:t>
            </w:r>
          </w:p>
        </w:tc>
        <w:tc>
          <w:tcPr>
            <w:tcW w:w="10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BNT211</w:t>
            </w:r>
          </w:p>
        </w:tc>
        <w:tc>
          <w:tcPr>
            <w:tcW w:w="10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SC-004</w:t>
            </w:r>
          </w:p>
        </w:tc>
        <w:tc>
          <w:tcPr>
            <w:tcW w:w="0" w:type="dxa"/>
            <w:vAlign w:val="bottom"/>
          </w:tcPr>
          <w:p>
            <w:pPr>
              <w:spacing w:after="0"/>
              <w:rPr>
                <w:sz w:val="1"/>
                <w:szCs w:val="1"/>
                <w:color w:val="auto"/>
              </w:rPr>
            </w:pPr>
          </w:p>
        </w:tc>
      </w:tr>
      <w:tr>
        <w:trPr>
          <w:trHeight w:val="244"/>
        </w:trPr>
        <w:tc>
          <w:tcPr>
            <w:tcW w:w="300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BNT142</w:t>
            </w:r>
          </w:p>
        </w:tc>
        <w:tc>
          <w:tcPr>
            <w:tcW w:w="2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0"/>
                <w:szCs w:val="20"/>
                <w:color w:val="auto"/>
              </w:rPr>
            </w:pPr>
            <w:r>
              <w:rPr>
                <w:rFonts w:ascii="Arial" w:cs="Arial" w:eastAsia="Arial" w:hAnsi="Arial"/>
                <w:sz w:val="18"/>
                <w:szCs w:val="18"/>
                <w:b w:val="1"/>
                <w:bCs w:val="1"/>
                <w:color w:val="auto"/>
              </w:rPr>
              <w:t>Antibody Format</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Bispecific</w:t>
            </w: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CLDN6</w:t>
            </w:r>
          </w:p>
        </w:tc>
        <w:tc>
          <w:tcPr>
            <w:tcW w:w="2540" w:type="dxa"/>
            <w:vAlign w:val="bottom"/>
          </w:tcPr>
          <w:p>
            <w:pPr>
              <w:jc w:val="center"/>
              <w:spacing w:after="0"/>
              <w:rPr>
                <w:sz w:val="20"/>
                <w:szCs w:val="20"/>
                <w:color w:val="auto"/>
              </w:rPr>
            </w:pPr>
            <w:r>
              <w:rPr>
                <w:rFonts w:ascii="Arial" w:cs="Arial" w:eastAsia="Arial" w:hAnsi="Arial"/>
                <w:sz w:val="18"/>
                <w:szCs w:val="18"/>
                <w:color w:val="auto"/>
                <w:w w:val="97"/>
              </w:rPr>
              <w:t>CLDN6/9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CLDN6xCD3</w:t>
            </w: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CAR-T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ADC</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CLDN6xCD3 (bi(sFc))</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Stage</w:t>
            </w:r>
          </w:p>
        </w:tc>
        <w:tc>
          <w:tcPr>
            <w:tcW w:w="2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Preclinical</w:t>
            </w:r>
          </w:p>
        </w:tc>
        <w:tc>
          <w:tcPr>
            <w:tcW w:w="2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4"/>
              </w:rPr>
              <w:t>Phase 1,</w:t>
            </w:r>
          </w:p>
        </w:tc>
        <w:tc>
          <w:tcPr>
            <w:tcW w:w="2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1"/>
              </w:rPr>
              <w:t>Phase 2</w:t>
            </w:r>
          </w:p>
        </w:tc>
        <w:tc>
          <w:tcPr>
            <w:tcW w:w="0" w:type="dxa"/>
            <w:vAlign w:val="bottom"/>
          </w:tcPr>
          <w:p>
            <w:pPr>
              <w:spacing w:after="0"/>
              <w:rPr>
                <w:sz w:val="1"/>
                <w:szCs w:val="1"/>
                <w:color w:val="auto"/>
              </w:rPr>
            </w:pPr>
          </w:p>
        </w:tc>
      </w:tr>
      <w:tr>
        <w:trPr>
          <w:trHeight w:val="244"/>
        </w:trPr>
        <w:tc>
          <w:tcPr>
            <w:tcW w:w="300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Phase 1</w:t>
            </w:r>
          </w:p>
        </w:tc>
        <w:tc>
          <w:tcPr>
            <w:tcW w:w="2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Status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Active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Active</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Deprioritized</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Selectivity</w:t>
            </w:r>
          </w:p>
        </w:tc>
        <w:tc>
          <w:tcPr>
            <w:tcW w:w="27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color w:val="auto"/>
                <w:w w:val="92"/>
              </w:rPr>
              <w:t>&gt;100x</w:t>
            </w:r>
          </w:p>
        </w:tc>
        <w:tc>
          <w:tcPr>
            <w:tcW w:w="274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color w:val="auto"/>
                <w:w w:val="94"/>
              </w:rPr>
              <w:t>7x</w:t>
            </w:r>
          </w:p>
        </w:tc>
        <w:tc>
          <w:tcPr>
            <w:tcW w:w="25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4"/>
              </w:rPr>
              <w:t>1x</w:t>
            </w: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CLDN6:9</w:t>
            </w: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IND-enabling studies for CLDN6xCD3 bsAb with the FDA in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In addition to our product candidates, we are leveraging our knowledge in hormone-dependent cancer to pursue discovery stage research programs, including Sigma1. Sigma1 is a cellular protein that regulates homeostasis and has been shown to play a role in prostate cancer. The Sigma1 discovery research program is currently in lead optimization and has undergone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collaboration and license agreements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December 2017, we acquired ONA-XR from Arno Therapeutics. Under the terms of the agreement, Context paid an undisclosed upfront payment. No further payments are due to Arno. Please note that this is a summary of the agreement with Arno Therapeutics, for complete terms, please see the agreement attached as an exhibit to the registration statement of which this prospectus forms a part.</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March 2020, we entered into a manufacturing and development agreement with Tyligand Biosciences Ltd for ONA-XR (the “Tyligand Manufacturing and Development Agreement”) that is intended to enhance our ability to meet manufacturing demands for commercial launch and expand our clinical trial footprint into Greater China. Under the terms of the agreement, Tyligand is responsible for ONA-XR manufacturing process optimization. As a part of the agreement, Tyligand will be eligible to receive development milestone payments of $0.8 million and a certain number of warrants exercisable for common stock upon successful completion of the manufacturing development plan, $2.0 million upon the completion of scale-up of the first cumulative 100 kilograms of the GMP-grade compound and $3.0 million upon our completion of scale-up of the first cumulative 300 kilograms of the GMP-grade compound. We will also pay Tyligand a 1% royalty of net sales of finished product commercialized in any country (other than the People’s Republic of China, including Hong Kong and Macao) utilizing the compound substantially manufactured in accordance with the process and specifications outlined in this agreement. Additionally, upon Tyligand’s successful optimization of the ONA-XR manufacturing process, Tyligand and Context shall enter into a license agreement whereby Context shall grant Tyligand an exclusive license to develop and commercialize ONA-XR in the People’s Republic of China, including Hong Kong and Macao, subject to Tyligand paying Context a mid-single digit royalty of net sales of ONA-XR in such</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countries. There have not been any up-front payments received or any payments due under this agreement. This agreement terminates in August of 2021, and provides for termination in the event of (a) insolvency, (b) a material breach of the agreement, and (c) in the event that Tyligand does not meet certain milestones. Please note that this is a summary of the Tyligand Manufacturing and Development Agreement, for complete terms, please see the agreements to be attached as exhibits to the registration statement of which this prospectus forms a part.</w:t>
      </w:r>
    </w:p>
    <w:p>
      <w:pPr>
        <w:spacing w:after="0" w:line="17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April 2021, we entered into a license agreement with Integral for the exclusive worldwide rights (the “Integral License Agreement”) to certain Claudin 6 antibody patents in the field of bispecific antibodies. Under the terms of the license and development agreement, we are responsible for all costs associated with CLDN6xCD3 bsAb development as well as certain success-based payments, including milestone and royalty payments, to Integral. We paid an upfront license fee of $0.3 million and granted 418,559 Series A Units with a fair market value of approximately $2.8 million. As a part of the agreement, Integral will be eligible to receive development and regulatory milestone payments totaling up to $55.3 million, sales milestone payments totaling up to $130 million, and tiered royalties of up to 12% of net sales of certain products developed under this agreement. We shall continue to pay royalties on a country-by-country and licensed-by-licensed product basis, until the later of: (i) the expiration of the patent covering such product in such territory, (ii) the expiration of any regulatory exclusivity granted with respect to a product in such territory and (iii) ten years from the first commercial sale of such product in such country. The agreement shall continue in full force and effect, until either (a) royalty payments for all products in all territories have expired or (b)(i) we provide written notice of termination, (ii) during three successive quarters we do not use commercially reasonable efforts to develop a product, (iii) if the agreement is breached or (iv) if a party goes bankrupt. Please note that this is a summary of the Integral License Agreement, for complete terms, please see the agreement attached as an exhibit to the registration statement of which this prospectus forms a part.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retain worldwide development and commercialization rights for ONA-XR outside of Greater China and retain full worldwide development and commercialization rights to certain CLDN6 antibody patents in the field of bispecific antibodies and to certain patents related to Sigma1. We periodically evaluate out-license opportunities for our product candidates, including our lead product candidate ONA-XR, and seek to identify drug candidates for novel indications and/or patient subpopulations with an oncology focus that we might in-license. Our commercial plans and strategy for each particular program may change as programs advance, markets change, and we receive more clinical data, and will depend on availability of current and future capital.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We currently have no sales, marketing, or commercial product distribution capabilities, and we may explore partnerships with larger pharmaceutical organizations to out-license our product candidates, including our lead product candidate ONA-XR. We intend to build the necessary infrastructure and capabilities over time for the United States, and potentially other regions, following further advancement of our product candidates.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7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To date, we have obtained active pharmaceutical ingredients (API) and drug product for our product candidates from several third party contract manufacturers.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we advance our product candidates through development, we will consider our lack of redundant supply for the API and drug product for each of our product candidates to protect against any potential supply disruptions.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generally expect to rely on third parties for the manufacture of any companion diagnostics we may develop.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proprietary products. While we believe that our technology, the expertise of our executive and scientific team, research, clinical capabilities,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Many of our competitors, either alone or with their collaborators,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164"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and convenience.</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ONA-XR, our small molecule PR antagonist, we are aware of several companies developing PR antagonists, including Allergan, Gedeon Richter, and Evestra. To our knowledge, there are no PR antagonists approved for the treatment of cancer and the most advanced such PR antagonist is in a Phase 2 clinical trial.</w:t>
      </w:r>
    </w:p>
    <w:p>
      <w:pPr>
        <w:spacing w:after="0" w:line="184" w:lineRule="exact"/>
        <w:rPr>
          <w:sz w:val="20"/>
          <w:szCs w:val="20"/>
          <w:color w:val="auto"/>
        </w:rPr>
      </w:pPr>
    </w:p>
    <w:p>
      <w:pPr>
        <w:jc w:val="both"/>
        <w:ind w:left="120" w:right="460" w:firstLine="440"/>
        <w:spacing w:after="0" w:line="286" w:lineRule="auto"/>
        <w:rPr>
          <w:sz w:val="20"/>
          <w:szCs w:val="20"/>
          <w:color w:val="auto"/>
        </w:rPr>
      </w:pPr>
      <w:r>
        <w:rPr>
          <w:rFonts w:ascii="Arial" w:cs="Arial" w:eastAsia="Arial" w:hAnsi="Arial"/>
          <w:sz w:val="17"/>
          <w:szCs w:val="17"/>
          <w:color w:val="auto"/>
        </w:rPr>
        <w:t>For CLDN6xCD3 bsAb, our CLDN6xCD3 bispecific antibody, we are aware of several companies developing antibodies against this target, including BioNTech, Astellas, Abbvie, and Chugai. These companies are developing CDLN6 products in naked antibody, bispecific, CAR-T, and mRNA vaccine formats. To our knowledge, BioNTech has the only CLDN6 bispecific in clinical trials.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our patent rights. We own the issued patent and patent applications relating to our first program and lead product candidate ONA-XR, retains full worldwide development and commercialization rights to certain CLDN6 antibody patents in the field of bispecific antibodies. Our policy is to seek to protect our proprietary position by, among other methods, filing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patent applications in the United States and in jurisdictions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product candidates, technology, inventions and improvements;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of May 26, 2021, our patent portfolio consisted of pending or issued patents that we own or license related to our ONA-XR product candidate and various other compounds and programs. Specifically, we owned four issued U.S. patents, three pending U.S. patent applications, one granted Canadian patent, one granted Chinese patent, one granted Japanese patent, three granted Australian patents, and 18 pending foreign patent applications, one of which is an Australian application, three of which are Canadian applications, two of which are Chinese applications, three of which are European regional patent applications, four of which are Hong Kong applications, one of which is a Mexican application, one of which is a Japanese application, and three of which are Korean applications.</w:t>
      </w:r>
    </w:p>
    <w:p>
      <w:pPr>
        <w:spacing w:after="0" w:line="19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More specifically with respect to ONA-XR, our issued U.S. patents in our owned portfolio described above have claims directed to our ONA-XR as pharmaceutical compositions, formulations, and related methods of use, and methods of making. These U.S. patents are expected to expire between 2034 and 2036, subject to any extensions or disclaimers.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also possess substantial know-how and trade secrets relating to the development and commercialization of our product candidates, including related manufacturing processes and technology.</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w:t>
      </w:r>
    </w:p>
    <w:p>
      <w:pPr>
        <w:spacing w:after="0" w:line="2" w:lineRule="exact"/>
        <w:rPr>
          <w:sz w:val="20"/>
          <w:szCs w:val="20"/>
          <w:color w:val="auto"/>
        </w:rPr>
      </w:pPr>
    </w:p>
    <w:p>
      <w:pPr>
        <w:ind w:left="120" w:right="280"/>
        <w:spacing w:after="0" w:line="323" w:lineRule="auto"/>
        <w:rPr>
          <w:sz w:val="20"/>
          <w:szCs w:val="20"/>
          <w:color w:val="auto"/>
        </w:rPr>
      </w:pPr>
      <w:r>
        <w:rPr>
          <w:rFonts w:ascii="Arial" w:cs="Arial" w:eastAsia="Arial" w:hAnsi="Arial"/>
          <w:sz w:val="16"/>
          <w:szCs w:val="16"/>
          <w:color w:val="auto"/>
        </w:rPr>
        <w:t>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3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enforcing patent claims that cover our product candidates,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may not guarantee us the right to commercialize our product candidates, if approved.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product candidates,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products. Furthermore, our competitors may independently develop similar products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Pathway</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expect that ONA-XR will be classified and regulated by the FDA as a drug. We expect that our CLDN6xCD3 bsAb will be classified and regulated by the FDA as a biologic. A new drug application (“NDA”) is required to introduce a drug into interstate commerce. A biologics license application (“BLA”) is required to introduce a biologic product into interstate commerce. The specific requirements of NDAs and BLAs include applicant information, product information, manufacturing information, pre-clinical data, clinical data, and labelling. The most important, time-consuming, and expensive aspect of preparing for a BLA or NDA is conducting clinical trials to demonstrate safety and effectiveness. The requirements of such clinical trials heavily influence the eventual allowable product label claims. The FDA has a performance goal as defined in the Prescription Drug User Fee Act of ten months for a standard submission and six months for priority review. It is not uncommon for NDAs and BLAs to require medical advisory board review prior to the FDA granting marketing approval. A facility inspection verifying the manufacturing systems is also usually performed prior to FDA approval.</w:t>
      </w:r>
    </w:p>
    <w:p>
      <w:pPr>
        <w:spacing w:after="0" w:line="196"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have in the past used and intend to continue to utilize the services of third-party experts to supplement internal regulatory planning and implementation.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Ongoing FDA Regulation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After the FDA permits a product to enter commercial distribution, numerous and pervasive regulatory requirements continue to apply to our business operations, products and technologies. These include:</w:t>
      </w:r>
    </w:p>
    <w:p>
      <w:pPr>
        <w:spacing w:after="0" w:line="76" w:lineRule="exact"/>
        <w:rPr>
          <w:sz w:val="20"/>
          <w:szCs w:val="20"/>
          <w:color w:val="auto"/>
        </w:rPr>
      </w:pPr>
    </w:p>
    <w:p>
      <w:pPr>
        <w:ind w:left="1080" w:right="52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FDA’s quality system regulation, or QSR, which requires manufacturers, including third party manufacturers, to follow stringent design, testing, production, control, supplier/contractor selection, complaint handling, documentation and other quality assurance procedures during all aspects of the manufacturing process;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w:t>
      </w:r>
    </w:p>
    <w:p>
      <w:pPr>
        <w:spacing w:after="0" w:line="75"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advertising and promotion requirements, including FDA prohibitions against the promotion of products for uncleared, unapproved or off-label uses and FDA guidance on off-label dissemination of information and responding to unsolicited requests for information;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sale, distribution or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establishment, registration and listing requirements and reporting requirements;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recall requirements, including a mandatory recall if there is a reasonable probability that a product would cause serious adverse health consequences or death;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order of repair, replacement or refund;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necessary to protect the public health or to provide additional safety and effectiveness data.</w:t>
      </w:r>
    </w:p>
    <w:p>
      <w:pPr>
        <w:spacing w:after="0" w:line="170"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The FDA has broad post-market and regulatory enforcement powers. Manufacturers of biologic products and drug products like our product candidates are subject to unannounced inspections by the FDA and other state, local and foreign regulatory authorities to assess compliance with the QSR and other applicable regulations, and these inspections may include the manufacturing facilities of any suppliers.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Failure to comply with applicable regulatory requirements can result in enforcement action by the FDA, which may include any of the following sanctions:</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warning letters, untitled letters, Form 483s, fines, injunctions, consent decrees and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recall or seizure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FDA’s refusal of requests for approval of new products or indications for existing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FDA’s refusal to issue certificates to foreign governments needed to export products for sale in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withdrawing approvals that have already been granted;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Security Laws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including health information. Among others, the federal Health Insurance Portability and Accountability Act of 1996, as amended by the Health Information Technology for Economic and Clinical Health Act, or HITECH, and their implementing regulations, (collectively referred to as HIPAA), establish privacy and security standards that limit the use and disclosure of protected health information, or PHI, and require covered entities and business associates to implement administrative, physical, and technical safeguards to ensure the confidentiality, integrity and availability of individually identifiable health information in electronic form, among other requirements.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Violations of HIPAA may result in civil and criminal penalties. Companies subject to HIPAA must also comply with HIPAA’s breach notification rule which requires notification of affected patients and the U.S. Department of Health and Human Services, or HHS, and in certain cases of media outlets, in the case of a breach of unsecured PHI. The regulations also require business associates of covered entities to notify the covered entity of breaches by the business associate. State attorneys general also have the right to prosecute HIPAA violations committed against residents of their states, and HIPAA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Many states have laws that protect the privacy and security of sensitive and personal information, including health information, to which we are subject. These laws may be similar to or even more protective than HIPAA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and other federal privacy laws. For example, California enacted the California Consumer Privacy Act, or CCPA, which creates individual privacy rights for California consumers and increases the privacy and security obligations of entities handling certain personal data. The CCPA went into effect on January 1, 2020, and the California Attorney General may bring enforcement actions for violations as of July 1, 2020. The CCPA has been amended from time to time, and it remains unclear what, if any, further modifications will be made to this legislation or how it will be interpreted.</w:t>
      </w:r>
    </w:p>
    <w:p>
      <w:pPr>
        <w:spacing w:after="0" w:line="15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We may be subject to other state and federal privacy laws, including laws that prohibit unfair privacy and security practices and deceptive statements about privacy and security, laws that place specific requirements on certain types of activities, such as data security and texting, and laws requiring holders of personal information to maintain safeguards and to take certain actions in response to a data breach.</w:t>
      </w:r>
    </w:p>
    <w:p>
      <w:pPr>
        <w:spacing w:after="0" w:line="165"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European Union member states, the United Kingdom, Switzerland and other jurisdictions have also adopted data protection laws and regulations, which impose significant compliance obligations. In the EEA and the United Kingdom, the collection and use of personal data, including clinical trial data, is governed by the provisions of the General Data Protection Regulation, or GDPR. The GDPR became effective on May 25, 2018, repealing its predecessor directive and increasing responsibility and liability of pharmaceutical and medical device companies in relation to the processing of personal data of EU data subjects. The GDPR, together with national legislation, regulations and guidelines of the EU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Changes in healthcare policy could increase our costs and subject us to additional regulatory requirements that may interrupt commercialization of our products. By way of example, the Patient Protection and Affordable Care Act, or PPACA substantially changed the way healthcare is financed by both governmental and private insurers, and significantly impacted the pharmaceutical, medical device and biologics industries, among others.</w:t>
      </w:r>
    </w:p>
    <w:p>
      <w:pPr>
        <w:spacing w:after="0" w:line="1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PPACA, and we expect there will be additional challenges and amendments to the PPACA in the future. For example, in 2017, Congress enacted the Tax Cuts and Jobs Act, which eliminated the tax-based shared responsibility payment imposed by the PPACA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PPACA, and therefore, because it was repealed as part of the Tax Cuts and Jobs Act, the remaining provisions of the PPACA are invalid as well. While the Texas District Court Judge, as well as the Trump Administration and CMS, have stated that the ruling will have no immediate effect, and on December 30, 2018 the Texas District Court Judge issued an order staying the judgment pending appeal. In December 2019, a U.S. District Court upheld a ruling that the ACA is unconstitutional in its entirety because the “individual mandate” was repealed by Congress. In November 2020, the Supreme Court of the United States heard oral arguments in the appeal of this case, but it is uncertain when the Supreme Court will rule on this case. It is unclear how this and other efforts to challenge, repeal, or replace the ACA will impact the ACA or our business.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and/or patients’ willingness to pay for our products. While in general it is too early to predict what effect, if any, any future healthcare reform legislation or policies will have on our business, current and future healthcare reform legislation and policies could have a material adverse effect on our business and prospects.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United States and markets in other countries, sales of any products for which we receive regulatory approval for commercial sale will depend in part on the availability of reimbursement from third party payors. Third party payors include government health administrative authorities, managed care providers, private health insurers, and other organizations. These third-party payors are increasingly challenging the price and examining the cost-effectiveness of medical products and services. In addition, significant uncertainty exists as to the reimbursement status of newly approved healthcare products, and efforts are underway to reduce the cost of medical products and services overall. We may need to conduct expensive studies in order to demonstrate the cost-effectiveness of our products. Our product candidates may not be considered cost-effective. Decisions regarding the extent of coverage and amount of reimbursement to be provided are made on a plan-by-plan basis. One third-party payor’s decision to cover a particular product or procedure using the product does not ensure that other payors will also provide coverage for the product. Adequate third-party reimbursement may not be available to enable us to maintain price levels sufficient to realize an appropriate revenue levels. Future legislation could limit payments for our product candidates.</w:t>
      </w:r>
    </w:p>
    <w:p>
      <w:pPr>
        <w:spacing w:after="0" w:line="18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less costly products. Adoption of government controls and measures, and tightening of restrictive policies in jurisdictions with existing controls and measures, could limit payments for our products. The marketability of any products for which we receive regulatory approval for commercial sale may suffer if the government and third-party payors fail to provide adequate coverage and reimbursement. In addition, an increasing emphasis on managed care in the United States has increased and will continue to increase the pressure on medical product and service pricing.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11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In the United States, the research, manufacturing, distribution, sale and promotion of pharmaceutical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FFDCA,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7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are subject.</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federal False Claims Act prohibits anyone from, among other things, knowingly presenting, or causing to be presented, for payment to federal programs (including Medicare and Medicaid) claims for items or services, including pharmaceutical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$11,181 and $22,363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7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pharmaceutical product manufacturers to track and report to the federal government certain payments or other transfers of value made to physicians, registered nurses and teaching hospitals, among others,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Federal Healthcare Fraud and Abuse Laws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also be subject to other federal healthcare fraud and abuse laws, including provisions of HIPAA, which prohibit knowingly and recklessly executing a scheme or artifice to defraud any healthcare benefit program, including private payors, as well as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imprisonment or exclusion from government-sponsored programs. Similar to the federal Anti-Kickback Statute, a person or entity no longer needs to have actual knowledge of this statute or specific intent to violate it in order to have committed a violation.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Corrupt Practices Act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 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 The scope of the FCPA includes interactions with certain healthcare professionals in many countries.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April 30, 2021, we had two full-time employees, zero part-time employees and four consultants. None of these employees are represented by labor unions or covered by collective bargaining agreements. We believe that our employee relations are good.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principal executive offices are located at 3675 Market Street, Suite 200, Philadelphia, Pennsylvania 19104, where we lease approximately 60 square feet of office space. We lease this space under a month-to-month lease. We intend to add new facilities as we believe that suitable additional or substitute space will be available as needed to accommodate any such expansion of our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700" w:type="dxa"/>
            <w:vAlign w:val="bottom"/>
          </w:tcPr>
          <w:p>
            <w:pPr>
              <w:spacing w:after="0"/>
              <w:rPr>
                <w:sz w:val="14"/>
                <w:szCs w:val="14"/>
                <w:color w:val="auto"/>
              </w:rPr>
            </w:pPr>
          </w:p>
        </w:tc>
      </w:tr>
      <w:tr>
        <w:trPr>
          <w:trHeight w:val="195"/>
        </w:trPr>
        <w:tc>
          <w:tcPr>
            <w:tcW w:w="352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Martin Lehr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Alex Levit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0"/>
              </w:rPr>
              <w:t>Chief Legal Officer and Corporate Secretary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Tarek Sahmoud, MD,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Bill Rencher,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Head of CMC and Regulatory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Evan G. Dick,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SVP of Research and Development</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Richard Berman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Jennifer Evans Stacey, Esq.</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Philip Kantoff, 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Linda West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below is a brief biography of our current executive officers and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Martin Lehr – Chief Executive Officer and Director</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Mr. Lehr is the Co-founder and Chief Executive Officer of Context Therapeutics and member of our board of directors since its founding in 2015. In addition, Mr. Lehr serves on the boards of Praesidia Biologics and CureDuchenne Ventures. Previously, Mr. Lehr was part of the founding team at Osage University Partners, a venture capital fund focused on academic spinouts from leading research institutions. Prior to Osage University Partners, Mr. Lehr conducted research at the Sloan Kettering Institute in DNA repair and at the Children’s Hospital of Philadelphia in thrombosis and hemostasis. Mr. Lehr is a director of BioBreak, a biotech executive peer networking group with over 2,500 active members across the United States, and an advisory board member of Life Science Cares and Life Science Leader magazine. Mr. Lehr holds an M.A. in Biotechnology from Columbia University and a B.A. in Economics from the University of Pennsylvania. The Company has determined that Mr. Lehr’s business experience and management background make him a qualified member of our management group and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Alex Levit – Chief Legal Officer and Corporate Secretary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Alex Levit joined Context in April 2021 as Chief Legal Officer and serves as Corporate Secretary. Prior to joining the Company, Mr. Levit served as Vice President, Deputy General Counsel and Assistant Corporate Secretary of OptiNose, a publicly-traded specialty pharmaceutical company. Prior to OptiNose, Mr. Levit served as Associate General Counsel of Teva Pharmaceuticals, a global pharmaceuticals company, from 2010 until 2017. During his tenures at OptiNose and Teva, Mr. Levit negotiated various in-bound and out-bound licenses, collaborations, mergers and acquisitions, and supply agreements. While at OptiNose, Mr. Levit also handled various public and private financing transactions. Before joining Teva, Mr. Levit was a corporate and life sciences attorney at the law firm of Reed Smith LLP. Mr. Levit also serves as a member of the board of directors of Strados Labs, a medical device company. Mr. Levit holds a JD from Temple University Beasley School of Law and a Bachelor of Arts in Labor &amp; Industrial Relations from Pennsylvania State University, where he is a graduate of the Schreyer Honors College.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Tarek Sahmoud, MD, PhD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 Chief Medical Officer</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Dr. Sahmoud is currently President of OncoStrategy, a boutique clinical development consultancy, and is acting as consulting Chief Medical Officer to Context Therapeutics. Dr. Sahmoud has more than 25 years of experience in oncology drug development and medical affairs, most recently as Chief Medical Officer of H3 Biomedicines. Dr. Sahmoud also held senior clinical development positions at Celgene, Novartis and AstraZeneca. During his career, Dr. Sahmoud has either led or supported global drug development programs for several novel oncology drugs in multiple indications, including adjuvant breast cancer (Arimidex) and hormone receptor positive breast cancer (Kisqali and Afinitor), resulting in successful global registrations. His experience also includes the development and leading of global and U.S. medical affairs teams, multi-disciplinary teams of physicians and clinical scientists, as well as serving on the protocol review committee of a number of companies. Dr. Sahmoud received his medical degree from Cairo University Medical School, Egypt and a Ph.D. in biostatistics from University Bordeaux II, France.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Bill Rencher, PhD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 Head of CMC and Regulatory</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Dr. Rencher is currently President of Drug and Device Development Solutions LLC (“D3S”), a boutique chemistry manufacturing controls (“CMC”) consulting firm. Through D3S, Dr. Rencher is acting as consulting Head of CMC at Context Therapeutics. His expertise is in pharmaceutical sciences, including product development, drug and product manufacturing, clinical supply distribution, and quality/regulatory. Over his 30+ year career he has been employed by SKB, McNeil, Schering and the CONRAD Program, holding positions as group leader through director. Dr. Rencher holds a B.S. in Pharmacy and Ph.D. in Pharmaceutical Sciences from the University of Kentucky.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Evan G. Dick, PhD. – SVP of Research and Development</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Dr. Evan Dick is currently acting as consulting SVP of Research and Development. Previously, Evan was most recently SVP of Discovery Medicine at Aclaris Therapeutics, a publicly-traded dermatology company, and a Partner at NeXeption, a therapeutic incubator. Previously, Evan was SVP of Chemistry at Ralexar Therapeutics, a venture-backed autoimmune startup. Prior to that, Evan served as SVP of R&amp;D or BD at multiple successful venture-backed startups, including Ceptaris Therapeutics (acquired by Actelion), Ception (acquired by Cephalon) and Fulcrum Pharmaceuticals (acquired by Ception). Evan gained additional startup experience at Kereos, MedStrategy, and Cytotaxis. Prior, Evan was Head of Ophthalmology R&amp;D at G.D. Searle &amp; Company. Evan was also an Assistant Professor in the Departments of Ophthalmology and Pharmacology at the Washington University School of Medicine. He earned a B.S. from Cornell University and Ph.D. from SUNY Buffalo.</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Richard Berman – Chairman of the Board, Director</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Mr. Berman has served as a member of our board of directors since March of 2021 and as Chairman of the board of directors since March of 2021. Mr. Berman’s business career spans over 35 years of venture capital, senior management and merger &amp; acquisitions experience. In the past five years, Mr. Berman has served as a director and/or officer of over a dozen public and private companies. Currently, he is a director of five public companies: Advaxis, Inc., Cryoport, Inc., COMSovereign Holding Corp., BioVie Inc. and Cuentas, Inc. Over the last decade he has served on the board of five companies that have reached over $1 billion in market capitalization – Cryoport, Advaxis, EXIDE, Internet Commerce Corporation and Ontrak (Catasys). Previously, Mr. Berman worked at Goldman Sachs; was Senior Vice President of Bankers Trust Company, where he started the M&amp;A and Leveraged Buyout Departments. In the 1980s, he created one of the largest battery companies in the world by merging Prestolite, General Battery and Exide to form Exide Technologies (XIDE). He also helped create SoHo, the lower Manhattan neighborhood in NYC, by developing five buildings and he has advised on over $4 billion M&amp;A transactions, completing over 300 deals. Mr. Berman is a past director of the Stern School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of Business of New York University where he obtained his B.S. and M.B.A. degrees. He also has U.S. and foreign law degrees from Boston College and the Hague Academy of International Law, respectively. The Company has determined that Mr. Berman’s background and success in the life sciences industry, as well as in investment and finance in general, make him a qualified member of our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Jennifer Evans Stacey, Esq. – Director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Ms. Stacey has served as a member of our board of directors since March of 2021. Ms. Stacey is currently Vice President, General Counsel, Secretary and Government Relations at The Wistar Institute, an international biomedical research institute focused on cancer, vaccines and infectious disease. Ms. Stacey has 25 years of global senior executive experience managing public, private and non-profit companies, ranging in size from 60 to 5,500 employees and primarily within the life sciences industry. Prior to Wistar, Ms. Stacey served as Senior Vice President, General Counsel, Human Resources and Secretary at Antares Pharma, Inc. Previously, Ms. Stacey served as Executive Vice President, General Counsel, Human Resources, and Secretary at Auxilium Pharmaceuticals, Inc., and as Senior Vice President, Corporate Communications, General Counsel and Secretary at Aventis Behring, LLC. She began her career in life sciences at Rhone-Poulenc Rorer, including two years in their Paris office and prior to that began her legal career at King &amp; Spalding in Washington, DC. Ms. Stacey graduated magna cum laude with an A.B. from Princeton University and earned her J.D. from the University of Pennsylvania Law School. The Company has determined that Ms. Stacy’s business and legal background make her a qualified member of our board of directors.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Philip Kantoff, MD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 Director</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Dr. Kantoff has served as a member of our board of directors since December of 2018. Dr. Kantoff is the Chairman of the Department of Medicine at Memorial Sloan Kettering Cancer Center in New York, which is the leading development and testing center for novel cancer therapies. He also served as Director of The Lank Center for Genitourinary Oncology, Chief of the Division of Solid Tumor Oncology, Vice Chair of the Department of Medical Oncology, and Chair of the Executive Committee on Clinical Research at the Dana-Farber Cancer Institute. He is a Professor Emeritus of Medicine at Harvard Medical School, the Chairman of the Global Treatment Science Network of the Prostate Cancer Foundation, and member of numerous professional societies and editorial boards. Dr. Kantoff has published more than 350 research articles on a variety of topics, written nearly 100 reviews and monographs on cancer and has edited numerous books, including </w:t>
      </w:r>
      <w:r>
        <w:rPr>
          <w:rFonts w:ascii="Arial" w:cs="Arial" w:eastAsia="Arial" w:hAnsi="Arial"/>
          <w:sz w:val="17"/>
          <w:szCs w:val="17"/>
          <w:i w:val="1"/>
          <w:iCs w:val="1"/>
          <w:color w:val="auto"/>
        </w:rPr>
        <w:t>Prostate Cancer, A Multi-Disciplinary Guide</w:t>
      </w:r>
      <w:r>
        <w:rPr>
          <w:rFonts w:ascii="Arial" w:cs="Arial" w:eastAsia="Arial" w:hAnsi="Arial"/>
          <w:sz w:val="17"/>
          <w:szCs w:val="17"/>
          <w:color w:val="auto"/>
        </w:rPr>
        <w:t xml:space="preserve"> published by Blackwell, and </w:t>
      </w:r>
      <w:r>
        <w:rPr>
          <w:rFonts w:ascii="Arial" w:cs="Arial" w:eastAsia="Arial" w:hAnsi="Arial"/>
          <w:sz w:val="17"/>
          <w:szCs w:val="17"/>
          <w:i w:val="1"/>
          <w:iCs w:val="1"/>
          <w:color w:val="auto"/>
        </w:rPr>
        <w:t>Prostate Cancer: Principles and Practice</w:t>
      </w:r>
      <w:r>
        <w:rPr>
          <w:rFonts w:ascii="Arial" w:cs="Arial" w:eastAsia="Arial" w:hAnsi="Arial"/>
          <w:sz w:val="17"/>
          <w:szCs w:val="17"/>
          <w:color w:val="auto"/>
        </w:rPr>
        <w:t>, a definitive text on prostate cancer. The Company has determined that Dr. Kantoff’s medical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background make him a qualified member of our board of directors.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Linda West – Director</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Ms. West has served as a member of our board of directors since March of 2021. Ms. West served in multiple leadership roles of increasing responsibility for E. I. du Pont de Nemours and Company from 1981 until her retirement in November 2019. Ms. West most recently served as Vice President, Corporate Planning and Analyses, where she led the execution of transformational transactions from October 2009 until her retirement including major divestitures, spins, acquisitions, and the merger with The Dow Company followed by simultaneous spins into three independent companies. Throughout her career with DuPont, Ms. West had P&amp;L accountabilities varying from late to early stage businesses including DuPont Imaging Technologies, DuPont Personal Protection, DuPont Microcircuit Materials, and DuPont Industrial Imaging. In addition, Ms. West was the Chief Financial Officer of multiple DuPont businesses and was the Vice President, General Auditor and Chief Ethics and Compliance Officer for five years during the initial implementation of the Sarbanes-Oxley Act of 2002. Ms. West serves on the board of directors of Galera Therapeutics, Inc. Ms. West holds a B.S. in Accounting with a minor in Business Administration from the University of Delaware. The Company has determined that Ms. West’s business and finance background make her a qualified member of our board of directors.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directors currently have terms which will end at our next annual meeting of the stockholders or until their successors are elected and qualify, subject to their prior death, resignation or removal. Officers serve at the discretion of the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the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 Structure</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Our business and affairs are organized under the direction of our board of directors, which currently consists of five members. The primary responsibilities of our board of directors are to provide oversight, strategic guidance, counseling and direction to our management. Our board of directors meets on a regular basis and on an ad hoc basis as required.</w:t>
      </w:r>
    </w:p>
    <w:p>
      <w:pPr>
        <w:spacing w:after="0" w:line="184"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In accordance with the terms of our amended &amp; restated certificate of incorporation and amended &amp; restated bylaws, which will become effective immediately prior to and upon the completion of the offering, respectively, our board of directors will be elected annually to a three-year term.</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authorized size of our board of directors is currently five members. The authorized number of directors may be changed only by resolution of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board of directors has determined that four current members qualify as “independent” in accordance with the Nasdaq listing standards.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In connection with this offering, our board has established an audit committee, a compensation committee and a nominating &amp; corporate governance committee, each with its own charter to be approved by the board. Upon completion of this offering, we intend to make each committee’s charter available on our website at </w:t>
      </w:r>
      <w:r>
        <w:rPr>
          <w:rFonts w:ascii="Arial" w:cs="Arial" w:eastAsia="Arial" w:hAnsi="Arial"/>
          <w:sz w:val="18"/>
          <w:szCs w:val="18"/>
          <w:i w:val="1"/>
          <w:iCs w:val="1"/>
          <w:color w:val="auto"/>
        </w:rPr>
        <w:t>ir.contexttherapeutics/corporate-governance/committees</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description of the committees.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current members of our audit committee are Richard Berman, Linda West and Jennifer Evans Stacey. Linda West serves as the chairperson of the committee. Each member of the audit committee satisfies the Nasdaq independence requirements.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board of directors has determined that Linda West is an audit committee financial expert as defined under the applicable rules of the SEC and has the requisite financial sophistication as defined under the applicable rules and regulations of the Nasdaq.</w:t>
      </w:r>
    </w:p>
    <w:p>
      <w:pPr>
        <w:spacing w:after="0" w:line="170"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Under the rules of the SEC, members of the audit committee must also meet heightened independence standards. Our board of directors has determined that each of Richard Berman, Linda West and Jennifer Evans Stacey are independent under the applicable rules of the SEC and Nasdaq.</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committee’s primary responsibilities will be to assist the board of directors in overseeing:</w:t>
      </w:r>
    </w:p>
    <w:p>
      <w:pPr>
        <w:spacing w:after="0" w:line="131" w:lineRule="exact"/>
        <w:rPr>
          <w:sz w:val="20"/>
          <w:szCs w:val="20"/>
          <w:color w:val="auto"/>
        </w:rPr>
      </w:pPr>
    </w:p>
    <w:p>
      <w:pPr>
        <w:ind w:left="1080" w:right="4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accounting and financial reporting processes and internal controls as well as the audit and integrity of the Company’s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Company’s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Company’s compliance with applicable law, including U.S. federal securities laws and other legal and regulatory requirements;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overall risk exposure and management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that both our independent registered public accounting firm and management will periodically meet privately with our audit committee.</w:t>
      </w:r>
    </w:p>
    <w:p>
      <w:pPr>
        <w:spacing w:after="0" w:line="248"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We believe that the composition and functioning of our audit committee will comply with all applicable requirements of the Sarbanes-Oxley Act, and all applicable SEC and Nasdaq rules and regulations. We intend to comply with future requirements to the extent they become applicable to us.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current members of our compensation committee are Richard Berman, Jennifer Evans Stacey, Esq. and Linda West. Mr. Berman serves as the chairperson of the committee. Each member of the compensation committee is a non-employee director, as defined in Rule 16b-3 promulgated under the Exchange Act and satisfies the Nasdaq independence requirements. The compensation committee will assist the board of directors in setting the compensation of our directors and executive officers and administering and implementing our incentive compensation plans and equity-based plans. The compensation committee’s duties and responsibilities will include:</w:t>
      </w:r>
    </w:p>
    <w:p>
      <w:pPr>
        <w:spacing w:after="0" w:line="93"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oversight of the compensation of our Chief Executive Officer and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administering our equity compensation plans and granting equity awards pursuant to such plans or outside of such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providing oversight of the Company’s compensation policies and plans and benefits programs and overall compensation philosophy.</w:t>
      </w:r>
    </w:p>
    <w:p>
      <w:pPr>
        <w:spacing w:after="0" w:line="23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Under our compensation committee charter, the compensation committee will have the authority to retain compensation consultants. The compensation committee also will have the authority to obtain advice and assistance from our executives, internal or external legal, accounting or other advisors as it determines necessary to carry out its duties.</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compensation committee may delegate its authority to determine the amount and form of compensation paid to our non-executive employees and consultants to officers and other appropriate supervisory personnel. It may also delegate its authority (other than its authority to determine the compensation of our Chief Executive Officer) to a subcommittee of the compensation committee. Finally, to the extent permitted by applicable law, the compensation committee may delegate to one or more officers of the Company (or other appropriate personnel) the authority to recommend stock options and other stock awards for employees who are not executive officers or members of our board of directors.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&amp; Corporate Governance Committee</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current members of our nominating and corporate governance committee are Phillip Kantoff, MD, Jennifer Evans Stacey, Esq. and Linda West. Ms. Stacey serves as the chairperson of the committee. Each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members of our nominating and corporate governance committee is an independent director under the applicable rules and regulations of the Nasdaq relating to nominating and corporate governance committee independence. The nominating and corporate governance committee’s duties and responsibilities will include:</w:t>
      </w:r>
    </w:p>
    <w:p>
      <w:pPr>
        <w:spacing w:after="0" w:line="89" w:lineRule="exact"/>
        <w:rPr>
          <w:sz w:val="20"/>
          <w:szCs w:val="20"/>
          <w:color w:val="auto"/>
        </w:rPr>
      </w:pPr>
    </w:p>
    <w:p>
      <w:pPr>
        <w:ind w:left="1080" w:right="10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assisting the board of directors in identifying individuals who are qualified to become members of the board and selecting, or recommending to the board that the board select, specified individuals as director nominees;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developing and maintaining corporate governance policies applicable to the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overseeing evaluations of the board.</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nominating and corporate governance committee will identify director candidates based on input provided by a number of sources, including members of the committee, other directors, our shareholders, members of management and third parties. The nominating and corporate governance committee also has the authority to consult with or retain advisors or search firms to assist in the identification of qualified director candidates.</w:t>
      </w:r>
    </w:p>
    <w:p>
      <w:pPr>
        <w:spacing w:after="0" w:line="14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As part of the identification process, the nominating and corporate governance committee will also take into account each candidate’s business and professional skills, experience serving in management or on the board of directors of companies similar to the Company, financial literacy, independence, personal integrity and judgment. In conducting this assessment, the nominating and corporate governance committee will, in connection with its assessment and recommendation of candidates for director, consider diversity (including, but not limited to, gender, race, ethnicity, age, experience and skills) and such other factors as it deems appropriate given the then-current and anticipated future needs of the board and the Company, and to maintain a balance of perspectives, qualifications, qualities and skills on the board. The board of directors does not have a formal diversity policy for directors. However, the board of directors is committed to an inclusive membership. Although the nominating and corporate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have adopted a code of ethics that applies to all of our directors, officers and employees, including our principal executive officer. Such code of ethics addresses, among other things, honesty and ethical conduct, conflicts of interest, compliance with laws, regulations and policies, including disclosure requirements under the federal securities laws, and reporting of violations of the code. Upon our listing on Nasdaq, our code of business conduct and ethics will be available under the Corporate Governance section of our website.</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are required to disclose any amendment to, or waiver from, a provision of our code of ethics applicable to our principal executive officer, principal financial officer, principal accounting officer, controller, or persons performing similar functions. We intend to use our website as a method of disseminating this disclosure, as permitted by applicable SEC rules. Any such disclosure will be posted to our website within four business days following the date of any such amendment to, or waiver from, a provision of our code of ethics.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amended &amp; restated certificate of incorporation will limit the liability of our directors to the maximum extent permitted by Delaware law. Delaware law provides that directors of a corporation will not be personally liable for monetary damages for breach of their fiduciary duties as directors, except liability for:</w:t>
      </w:r>
    </w:p>
    <w:p>
      <w:pPr>
        <w:spacing w:after="0" w:line="211"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130" w:lineRule="exact"/>
        <w:rPr>
          <w:rFonts w:ascii="Arial" w:cs="Arial" w:eastAsia="Arial" w:hAnsi="Arial"/>
          <w:sz w:val="18"/>
          <w:szCs w:val="18"/>
          <w:color w:val="auto"/>
        </w:rPr>
      </w:pPr>
    </w:p>
    <w:p>
      <w:pPr>
        <w:ind w:left="5480" w:right="2360" w:hanging="4824"/>
        <w:spacing w:after="0" w:line="449" w:lineRule="auto"/>
        <w:tabs>
          <w:tab w:leader="none" w:pos="10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 109</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amended &amp; restated certificate of incorporation and amended &amp; restated bylaws will provide for the indemnification of our directors and officers to the fullest extent permitted under the Delaware General Corporation Law (“DGCL”). In addition, the amended &amp; restated certificate of incorporation will provide that our directors shall not be personally liable to us or our shareholders for monetary damages for breach of fiduciary duty as a director and that if the DGCL is amended to authorize corporate action further eliminating or limiting the personal liability of directors, then the liability of our directors shall be eliminated or limited to the fullest extent permitted by the DGCL, as so amended.</w:t>
      </w:r>
    </w:p>
    <w:p>
      <w:pPr>
        <w:spacing w:after="0" w:line="176"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As permitted by the DGCL, we have entered into or plan to enter into separate indemnification agreements with each of our directors and certain of our officers that require us, among other things, to indemnify them against certain liabilities which may arise by reason of their status as directors, officers or certain other employees.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DGCL.</w:t>
      </w:r>
    </w:p>
    <w:p>
      <w:pPr>
        <w:spacing w:after="0" w:line="19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which indemnification is required or permitted, and we are not aware of any threatened litigation or proceeding that may result in a claim for indemnification.</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limitation of liability and indemnification provisions that will be contained in our amended &amp; restated certificate of incorporation and our amended &amp; restated bylaws upon completion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have opted to comply with the executive compensation disclosure rules applicable to “smaller reporting companies,” as such term is defined in the rules promulgated under the Securities Act. In accordance with these rules, our “named executive officers” for fiscal year 2020 were:</w:t>
      </w:r>
    </w:p>
    <w:p>
      <w:pPr>
        <w:spacing w:after="0" w:line="52"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Martin Lehr,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Tarek Sahmoud, Chief Medical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Bill Rencher, Head of CMC and Regulatory</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and arrangements summarized in this discussion, including the terms of the 2015 Option Plan and the 2021 Incentive Plan, each, which became effective immediately prior to the consummation of this offering.</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sets forth information concerning all cash and non-cash compensation awarded to, earned by or paid to the named persons for services rendered in all capacities during the noted periods. No other executive officers received total annual salary and bonus compensation in excess of $100,000.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Salary/</w:t>
            </w: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Annualized</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9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66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Martin Lehr</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2020</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Chief Executive Officer</w:t>
            </w:r>
          </w:p>
        </w:tc>
        <w:tc>
          <w:tcPr>
            <w:tcW w:w="11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02"/>
        </w:trPr>
        <w:tc>
          <w:tcPr>
            <w:tcW w:w="5720" w:type="dxa"/>
            <w:vAlign w:val="bottom"/>
            <w:gridSpan w:val="2"/>
          </w:tcPr>
          <w:p>
            <w:pPr>
              <w:spacing w:after="0" w:line="201" w:lineRule="exact"/>
              <w:rPr>
                <w:sz w:val="20"/>
                <w:szCs w:val="20"/>
                <w:color w:val="auto"/>
              </w:rPr>
            </w:pPr>
            <w:r>
              <w:rPr>
                <w:rFonts w:ascii="Arial" w:cs="Arial" w:eastAsia="Arial" w:hAnsi="Arial"/>
                <w:sz w:val="18"/>
                <w:szCs w:val="18"/>
                <w:color w:val="auto"/>
              </w:rPr>
              <w:t>Tarek Sahmoud,</w:t>
            </w:r>
          </w:p>
        </w:tc>
        <w:tc>
          <w:tcPr>
            <w:tcW w:w="110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2020</w:t>
            </w:r>
          </w:p>
        </w:tc>
        <w:tc>
          <w:tcPr>
            <w:tcW w:w="12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26,610</w:t>
            </w:r>
          </w:p>
        </w:tc>
        <w:tc>
          <w:tcPr>
            <w:tcW w:w="10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26,610</w:t>
            </w:r>
          </w:p>
        </w:tc>
        <w:tc>
          <w:tcPr>
            <w:tcW w:w="0" w:type="dxa"/>
            <w:vAlign w:val="bottom"/>
          </w:tcPr>
          <w:p>
            <w:pPr>
              <w:spacing w:after="0"/>
              <w:rPr>
                <w:sz w:val="1"/>
                <w:szCs w:val="1"/>
                <w:color w:val="auto"/>
              </w:rPr>
            </w:pPr>
          </w:p>
        </w:tc>
      </w:tr>
      <w:tr>
        <w:trPr>
          <w:trHeight w:val="230"/>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Chief Medical Officer</w:t>
            </w:r>
          </w:p>
        </w:tc>
        <w:tc>
          <w:tcPr>
            <w:tcW w:w="1100" w:type="dxa"/>
            <w:vAlign w:val="bottom"/>
            <w:gridSpan w:val="3"/>
          </w:tcPr>
          <w:p>
            <w:pPr>
              <w:ind w:left="360"/>
              <w:spacing w:after="0"/>
              <w:rPr>
                <w:sz w:val="20"/>
                <w:szCs w:val="20"/>
                <w:color w:val="auto"/>
              </w:rPr>
            </w:pPr>
            <w:r>
              <w:rPr>
                <w:rFonts w:ascii="Arial" w:cs="Arial" w:eastAsia="Arial" w:hAnsi="Arial"/>
                <w:sz w:val="18"/>
                <w:szCs w:val="18"/>
                <w:color w:val="auto"/>
              </w:rPr>
              <w:t>2019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232,256</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232,256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Rencher,</w:t>
            </w:r>
          </w:p>
        </w:tc>
        <w:tc>
          <w:tcPr>
            <w:tcW w:w="11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246,470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78,255</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324,725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Head of CMC and Regulatory</w:t>
            </w:r>
          </w:p>
        </w:tc>
        <w:tc>
          <w:tcPr>
            <w:tcW w:w="11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132,560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98,484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231,044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20" w:hanging="424"/>
        <w:spacing w:after="0" w:line="342"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Outstanding options refers to options to purchase membership units of Context Therapeutics LLC granted under the 2015 Plan, which after the reorganization have been converted into options to purchase shares of common stock of Context Therapeutics Inc. under the 2021 Incentive Plan.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and Consulting Agreements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On August 8, 2017, the Company entered into its first Letter of Engagement with Drug and Device Development Solutions, LLC, a North Carolina limited liability company, of which Bill Rencher, PhD, our Head of CMC and Regulatory, is the sole member, regarding Mr. Rencher’s provision of consultative services to the Company (the “2017 Letter of Engagement”). Pursuant to the Letter of Engagement dated October 1, 2019 (the “2019 Letter of Engagement”), the Company and Mr. Rencher agreed to supersede the initial 2017 Letter of Engagement. Pursuant to the 2019 Letter of Engagement, Mr. Rencher is entitled to a monthly retainer of $21,120 for his consultative services. In addition, Mr. Rencher is entitled to receive 1,666 membership units of the Company, which are in addition to membership units he received pursuant to the 2017 Letter of Engagement.</w:t>
      </w:r>
    </w:p>
    <w:p>
      <w:pPr>
        <w:spacing w:after="0" w:line="16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On November 1, 2017, the Company entered into an Employment Agreement with Martin Lehr which was amended effective December 1, 2017, (the “Lehr Employment Agreement”). Pursuant to the Lehr Employment Agreement, the Company employs Mr. Lehr as Chief Executive Officer and Mr. Lehr is entitled to an initial base salary of $250,000 annually (subject to potential annual increases by the Board and established increases which have since expired). Mr. Lehr is also entitled to a performance-based incentive bonus as determined by the Board or such annual incentive plan as may be later adopted with an initial target of 20% of his annual base salary (subject to adjustment by the Board and established increases which have since expired) with any performance metrics and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goals established by the Board after consultation with Mr. Lehr. The amount of such performance-based incentive bonus shall be determined by the Board following the end of the performance period and paid no later than 60 days after the close of the fiscal year in which it is earned. Although the Lehr Employment Agreement stated that Mr. Lehr would receive a restricted unit award, that award was never granted and the Company may instead grant Mr. Lehr certain stock options. Under the Lehr Employment Agreement, Mr. Lehr is entitled to participate in all incentive programs of the Company available to senior executives and Mr. Lehr and his dependents, as applicable, are entitled to participate in benefit programs available to senior executives of the Company. In the event of a termination of Mr. Lehr’s employment under the Lehr Employment Agreement for Good Reason (as defined in the Lehr Employment Agreement) or by the Company without Cause (as defined in the Amended Lehr Employment Agreement), Mr. Lehr shall be entitled to a lump sum payment in an amount equal to the sum of (a) 150% of his annual base salary in effect on the termination date, and (b) 150% of his target performance-based incentive bonus for the fiscal year in which the termination date occurs. Mr. Lehr is also entitled to certain accrued compensation and benefits and the vesting of any unvested restricted units or other equity awards he then holds.</w:t>
      </w:r>
    </w:p>
    <w:p>
      <w:pPr>
        <w:spacing w:after="0" w:line="16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May 7, 2021, the Company entered into a consulting agreement with OncoStrategy, LLC, a Pennsylvania limited liability company, of which Tarek Sahmoud, MD, PhD, our consulting Head of CMC and Regulatory, is the sole member, regarding Mr. Sahmoud’s provision of consultative services to the Company (the “Consulting Agreement”). Pursuant to the Consulting Agreement, Mr. Sahmoud is entitled to a monthly retainer of $10,000 for his consulting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following table sets forth information for each of our named executive officers regarding the number of shares of common stock underlying outstanding equity awards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Number of</w:t>
            </w: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5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Option Exercise</w:t>
            </w: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000" w:type="dxa"/>
            <w:vAlign w:val="bottom"/>
            <w:vMerge w:val="restart"/>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Options (#)</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Options (#)</w:t>
            </w:r>
          </w:p>
        </w:tc>
        <w:tc>
          <w:tcPr>
            <w:tcW w:w="15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3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50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Price ($)</w:t>
            </w:r>
          </w:p>
        </w:tc>
        <w:tc>
          <w:tcPr>
            <w:tcW w:w="1200" w:type="dxa"/>
            <w:vAlign w:val="bottom"/>
            <w:gridSpan w:val="2"/>
          </w:tcPr>
          <w:p>
            <w:pPr>
              <w:ind w:left="42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Martin Lehr</w:t>
            </w: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Tarek Sahmoud</w:t>
            </w:r>
          </w:p>
        </w:tc>
        <w:tc>
          <w:tcPr>
            <w:tcW w:w="132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Rencher</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4/02/2020</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4,625</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7,708</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4/02/2030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has entered into Board of Director Services Agreements (the “Director Agreements”) with each of its independent directors. The Director Agreements are each for a term of three years and grant to each director the right to cash compensation in the amount of $35,000 annually. In addition, the Director Agreements grant each director an option to purchase 15,000 membership units of the Company pursuant to the Company’s 2021 Incentive Plan. Directors who serve as Chair of the Board or as chairs or members of one or more of the Board’s committees are entitled to additional cash compensation.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2015 Option Plan</w:t>
      </w:r>
    </w:p>
    <w:p>
      <w:pPr>
        <w:spacing w:after="0" w:line="121"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following is a summary of certain significant features of the Context Therapeutics LLC 2015 Option Plan (the “2015 Option Plan”). The information that follows is subject to, and qualified in its entirety by reference to, the 2015 Option Plan document itself, which is filed as an exhibit to the registration statement of which this prospectus forms a part. The 2015 Option Plan provides for grants of options to purchase “units” of Context Therapeutics LLC as such term is defined in the Operating Agreement of Context Therapeutics LLC dated May 4, 2015. One million units were made available for issuance under the 2015 Option Plan. Of these, options have been granted for 24,830 Units. To the extent that an option expired or was cancelled for any reason the shares underlying such option were added back to the 2015 Option Plan.</w:t>
      </w:r>
    </w:p>
    <w:p>
      <w:pPr>
        <w:spacing w:after="0" w:line="17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All outstanding options under the 2015 Option Plan are fully vested with the exception of an option granted to Bill Rencher to purchase 12,333 units which would have become fully vested on April 2, 2022. Effective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April 23, 2021, following its merger with Context Therapeutics Merger Sub, LLC, Context Therapeutics LLC became a wholly owned subsidiary of Context Therapeutics Inc. All units of Context Therapeutics LLC under the 2015 Option Plan that remain unused are cancelled and each outstanding option to purchase units of Context Therapeutics LLC, in accordance with Section 409A of the Internal Revenue Code of 1986, as amended, were converted into options to purchase shares of common stock of Context Therapeutics Inc., subject to the terms of the 2021 Incentive Plan.</w:t>
      </w:r>
    </w:p>
    <w:p>
      <w:pPr>
        <w:spacing w:after="0" w:line="15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b w:val="1"/>
          <w:bCs w:val="1"/>
          <w:i w:val="1"/>
          <w:iCs w:val="1"/>
          <w:color w:val="auto"/>
        </w:rPr>
        <w:t>Purposes of Plan</w:t>
      </w:r>
      <w:r>
        <w:rPr>
          <w:rFonts w:ascii="Arial" w:cs="Arial" w:eastAsia="Arial" w:hAnsi="Arial"/>
          <w:sz w:val="16"/>
          <w:szCs w:val="16"/>
          <w:color w:val="auto"/>
        </w:rPr>
        <w:t>: The 2015 Option Plan is intended to enable the Company to (i) recruit and retain highly qualified employees, managers, consultants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service providers, (ii) provide those employees, managers, and consultants with an incentive for productivity, and (iii) provide those employees, managers, consultants and other service providers with an opportunity to share in the growth and value of the Company.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Administration of the Plan: </w:t>
      </w:r>
      <w:r>
        <w:rPr>
          <w:rFonts w:ascii="Arial" w:cs="Arial" w:eastAsia="Arial" w:hAnsi="Arial"/>
          <w:sz w:val="18"/>
          <w:szCs w:val="18"/>
          <w:color w:val="auto"/>
        </w:rPr>
        <w:t>The Management Committee of the Company has the authority to administer the 2015 Option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Eligible Recipients: </w:t>
      </w:r>
      <w:r>
        <w:rPr>
          <w:rFonts w:ascii="Arial" w:cs="Arial" w:eastAsia="Arial" w:hAnsi="Arial"/>
          <w:sz w:val="18"/>
          <w:szCs w:val="18"/>
          <w:color w:val="auto"/>
        </w:rPr>
        <w:t>Eligible recipients include employees, managers and consultants of the Company.</w:t>
      </w:r>
    </w:p>
    <w:p>
      <w:pPr>
        <w:spacing w:after="0" w:line="221"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options granted under the 2015 Option Plan are nonqualified stock options. Upon exercise, the spread on the option at the time of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taxable as ordinary income to the optionee. Upon disposition, the difference between the sale price and the fair market value of the underlying stock on the exercise date is taxable as a capital gain (or loss) to the participant.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Price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exercise price per Unit purchasable under an option will be determined by the Management Committee.</w:t>
      </w:r>
    </w:p>
    <w:p>
      <w:pPr>
        <w:spacing w:after="0" w:line="22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Options will vest and be exercisable at such time or times and subject to such terms and conditions as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Committee.</w:t>
      </w:r>
    </w:p>
    <w:p>
      <w:pPr>
        <w:spacing w:after="0" w:line="166"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i w:val="1"/>
          <w:iCs w:val="1"/>
          <w:color w:val="auto"/>
        </w:rPr>
        <w:t>Expiration or 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of each option will be fixed by the Management Committee; provided that no such option shall have a term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ten years. No Option may be exercised by any person after expiration of the term of the option.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Long-Term Performance Incentive Plan</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following is a summary of certain significant features of the Context Therapeutics Inc. 2021 Long-Term Performance Incentive Plan (the “2021 Incentive Plan”). The information that follows is subject to, and qualified in its entirety by reference to, the Plan document itself, which is filed as an exhibit to the registration statement of which this prospectus forms a part. Awards that may be granted include stock options, stock appreciation rights, restricted stock, restricted stock units and stock grants. These awards are described in more detail below. The Company has reserved 1,266,092 shares of common stock (the “Share Limit”) for issuance under the 2021 Incentive Plan. The Share Limit will automatically increase on January 1st of each year, during the term of the 2021 Incentive Plan, commencing on January 1 of the year following the year in which the effective date occurs, in an amount equal to four percent (4%) of the total number of shares of the Company’s common stock outstanding on December 31st of the preceding calendar year; provided that the Board may determine that there will be no such increase or a smaller increase for any particular year. The Share Limit is subject to adjustment for certain changes in the Company’s capitalization such as stock dividends, stock splits, combinations or similar events. If an award expires, terminates, is forfeited or cancelled, or is settled in cash rather than common stock, the common stock not issued under that award will again become available for grant under the 2021 Incentive Plan. If common stock is surrendered to the Company or withheld to pay any exercise price or tax withholding requirements, only the shares issued net of the shares withheld or surrendered will be counted against the number of shares of common stock available under the 2021 Incentive Plan.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Following the effective date of the 2021 Incentive Plan (as described below), the Company intends to grant awards under the 2021 Incentive Plan during the period beginning immediately after the reorganization described herein, and before the closing of this offering and will enter into the following two types of award agreements with grantees: (i) award agreements necessary to replace awards of nonqualified stock options granted under the 2021 Incentive Plan prior to its effective date, and (ii) award agreements documenting grants of nonqualified stock options the Company has or will make to Martin Lehr to purchase 281,354 shares of the Company’s common stock and to Alex Levit to purchase 52,753 shares of the Company’s common stock.</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Purpose of Plan</w:t>
      </w:r>
      <w:r>
        <w:rPr>
          <w:rFonts w:ascii="Arial" w:cs="Arial" w:eastAsia="Arial" w:hAnsi="Arial"/>
          <w:sz w:val="18"/>
          <w:szCs w:val="18"/>
          <w:color w:val="auto"/>
        </w:rPr>
        <w:t>: The Plan is intended to enable the Company to (i) provide incentives and awards to employees, nonemployee directors and consultants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(ii) enable the Company to attract and retain employees, nonemployee directors and consultants, and (iii) encourage employees, nonemployee directors and consultants to acquire a proprietary interest in the performance of the Company.</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 xml:space="preserve">Administration of the Plan: </w:t>
      </w:r>
      <w:r>
        <w:rPr>
          <w:rFonts w:ascii="Arial" w:cs="Arial" w:eastAsia="Arial" w:hAnsi="Arial"/>
          <w:sz w:val="17"/>
          <w:szCs w:val="17"/>
          <w:color w:val="auto"/>
        </w:rPr>
        <w:t>The Compensation Committee of the Company has the authority to administer the 2021 Incentive Plan.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has considerable discretion in setting the terms of awards granted under the Plan. The Compensation Committee may also establish another committee of the Board of Directors (such as a committee of which the Chairman of the Board is the sole member) to make awards to employees who are not subject to Section 16(b) of the Securities Exchange Act of 1934, as amended.</w:t>
      </w:r>
    </w:p>
    <w:p>
      <w:pPr>
        <w:spacing w:after="0" w:line="171" w:lineRule="exact"/>
        <w:rPr>
          <w:sz w:val="20"/>
          <w:szCs w:val="20"/>
          <w:color w:val="auto"/>
        </w:rPr>
      </w:pPr>
    </w:p>
    <w:p>
      <w:pPr>
        <w:jc w:val="both"/>
        <w:ind w:left="120" w:right="620"/>
        <w:spacing w:after="0" w:line="263" w:lineRule="auto"/>
        <w:rPr>
          <w:sz w:val="20"/>
          <w:szCs w:val="20"/>
          <w:color w:val="auto"/>
        </w:rPr>
      </w:pPr>
      <w:r>
        <w:rPr>
          <w:rFonts w:ascii="Arial" w:cs="Arial" w:eastAsia="Arial" w:hAnsi="Arial"/>
          <w:sz w:val="18"/>
          <w:szCs w:val="18"/>
          <w:b w:val="1"/>
          <w:bCs w:val="1"/>
          <w:i w:val="1"/>
          <w:iCs w:val="1"/>
          <w:color w:val="auto"/>
        </w:rPr>
        <w:t xml:space="preserve">Eligible Recipients: </w:t>
      </w:r>
      <w:r>
        <w:rPr>
          <w:rFonts w:ascii="Arial" w:cs="Arial" w:eastAsia="Arial" w:hAnsi="Arial"/>
          <w:sz w:val="18"/>
          <w:szCs w:val="18"/>
          <w:color w:val="auto"/>
        </w:rPr>
        <w:t>Eligible recipients include employees, nonemployee directors and consultants of the Company. Nonemployee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are not eligible to receive incentive stock options. The Compensation Committee selects the employees, non-employee directors and consultants who will receive awards under the 2021 Incentive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 stock option under the 2021 Incentive Plan may be granted as an incentive stock option or as a nonqualified stock option in the discretion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Incentive stock options offer employees certain tax advantages that are not available for nonqualified stock options. The Compensation Committee determines the terms and conditions of the options, including the number of shares of common stock subject to the option.</w:t>
      </w:r>
    </w:p>
    <w:p>
      <w:pPr>
        <w:spacing w:after="0" w:line="14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The exercise price per share of the Company’s common stock purchasable under a stock option shall not be less than one hundred percent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such stock on the date the stock option is granted. With respect to an incentive stock option granted to a more than 10% shareholder of the Company, the per share exercise price may not be less than 110% of the fair market value of a Common Share on the date the stock option is granted.</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i w:val="1"/>
          <w:iCs w:val="1"/>
          <w:color w:val="auto"/>
        </w:rPr>
        <w:t xml:space="preserve">Exercise: </w:t>
      </w:r>
      <w:r>
        <w:rPr>
          <w:rFonts w:ascii="Arial" w:cs="Arial" w:eastAsia="Arial" w:hAnsi="Arial"/>
          <w:sz w:val="16"/>
          <w:szCs w:val="16"/>
          <w:color w:val="auto"/>
        </w:rPr>
        <w:t>Stock options will vest and be exercisable at such time or times and subject to such terms and conditions as determined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 optionee may pay the exercise price of an option in cash or its equivalent. The Compensation Committee may also permit an optionee to pay the exercise price by surrendering previously acquired shares of common stock, withholding shares issuable upon exercise of the option, through a so-called “broker-financed transaction,” or in any combination of such methods. The 2021 Incentive Plan permits an employee to pay the tax withholding obligation with shares of common stock issuable upon the exercise of the option or previously acquired shares.</w:t>
      </w:r>
    </w:p>
    <w:p>
      <w:pPr>
        <w:spacing w:after="0" w:line="161" w:lineRule="exact"/>
        <w:rPr>
          <w:sz w:val="20"/>
          <w:szCs w:val="20"/>
          <w:color w:val="auto"/>
        </w:rPr>
      </w:pPr>
    </w:p>
    <w:p>
      <w:pPr>
        <w:ind w:left="120" w:right="240"/>
        <w:spacing w:after="0" w:line="258" w:lineRule="auto"/>
        <w:rPr>
          <w:sz w:val="20"/>
          <w:szCs w:val="20"/>
          <w:color w:val="auto"/>
        </w:rPr>
      </w:pPr>
      <w:r>
        <w:rPr>
          <w:rFonts w:ascii="Arial" w:cs="Arial" w:eastAsia="Arial" w:hAnsi="Arial"/>
          <w:sz w:val="18"/>
          <w:szCs w:val="18"/>
          <w:i w:val="1"/>
          <w:iCs w:val="1"/>
          <w:color w:val="auto"/>
        </w:rPr>
        <w:t>Expiration or Termination</w:t>
      </w:r>
      <w:r>
        <w:rPr>
          <w:rFonts w:ascii="Arial" w:cs="Arial" w:eastAsia="Arial" w:hAnsi="Arial"/>
          <w:sz w:val="18"/>
          <w:szCs w:val="18"/>
          <w:color w:val="auto"/>
        </w:rPr>
        <w:t>: The term of each stock option will be fixed by the Compensation Committee; provided that no option shall have a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ten years (five years for an incentive stock option granted</w:t>
      </w:r>
    </w:p>
    <w:p>
      <w:pPr>
        <w:spacing w:after="0" w:line="1" w:lineRule="exact"/>
        <w:rPr>
          <w:sz w:val="20"/>
          <w:szCs w:val="20"/>
          <w:color w:val="auto"/>
        </w:rPr>
      </w:pPr>
    </w:p>
    <w:p>
      <w:pPr>
        <w:jc w:val="both"/>
        <w:ind w:left="120" w:right="280"/>
        <w:spacing w:after="0" w:line="302" w:lineRule="auto"/>
        <w:rPr>
          <w:sz w:val="20"/>
          <w:szCs w:val="20"/>
          <w:color w:val="auto"/>
        </w:rPr>
      </w:pPr>
      <w:r>
        <w:rPr>
          <w:rFonts w:ascii="Arial" w:cs="Arial" w:eastAsia="Arial" w:hAnsi="Arial"/>
          <w:sz w:val="16"/>
          <w:szCs w:val="16"/>
          <w:color w:val="auto"/>
        </w:rPr>
        <w:t>to a more than 10% shareholder). No stock option may be exercised by any person after expiration of the term of the stock option. When an optionee terminates service with the Company, his or her stock option may expire before the end of the otherwise applicable option term. For example, upon a termination of service due to the optionee’s disability, options generally remain exercisable for the full option term, and upon a termination</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service due to the optionee’s death, options generally remain exercisable for up to three years. If an optionee has a termination of service for cause, his or her stock options will be terminated. The Compensation Committee has the discretion to determine the exercise period after termination of service for other reasons.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stock appreciation right may be granted to eligible participants under the 2021 Incentive Plan at the discretion of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which may at the time of such grant approve. The Compensation Committee determines the terms and conditions of stock appreciation rights.</w:t>
      </w:r>
    </w:p>
    <w:p>
      <w:pPr>
        <w:spacing w:after="0" w:line="18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A stock appreciation right entitles a recipient to receive, with respect to each share of the Company’s common stock to which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is exercised, the excess, if any, of the fair market value of the share on the date of exercise over the fair market value of the share on the date the stock appreciation right is granted. Such excess may be paid in cash, shares of the Company’s common stock, or a combination thereof, as determined by the Compensation Committee.</w:t>
      </w:r>
    </w:p>
    <w:p>
      <w:pPr>
        <w:spacing w:after="0" w:line="187" w:lineRule="exact"/>
        <w:rPr>
          <w:sz w:val="20"/>
          <w:szCs w:val="20"/>
          <w:color w:val="auto"/>
        </w:rPr>
      </w:pPr>
    </w:p>
    <w:p>
      <w:pPr>
        <w:ind w:left="120" w:right="1060"/>
        <w:spacing w:after="0" w:line="277" w:lineRule="auto"/>
        <w:rPr>
          <w:sz w:val="20"/>
          <w:szCs w:val="20"/>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Stock appreciation rights will be exercisable at such time or times and subject to such terms and conditions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i w:val="1"/>
          <w:iCs w:val="1"/>
          <w:color w:val="auto"/>
        </w:rPr>
        <w:t xml:space="preserve">Expiration or Termination. </w:t>
      </w:r>
      <w:r>
        <w:rPr>
          <w:rFonts w:ascii="Arial" w:cs="Arial" w:eastAsia="Arial" w:hAnsi="Arial"/>
          <w:sz w:val="18"/>
          <w:szCs w:val="18"/>
          <w:color w:val="auto"/>
        </w:rPr>
        <w:t>The term of each stock appreciation right will be fixed by the Compensation Committee; provided that no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shall have a term of more than ten years. No stock appreciation right may be exercised by any person after expiration of the term of the stock option. When an employee, non-employee director or consultant terminates service, his or her stock appreciation rights may expire before the end of the otherwise applicable stock appreciation right term. The period during which the stock appreciation right may be exercised is the same as the period for stock options, discussed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Restricted stock may be granted by the Compensation Committee to eligible participants for no consideration in the form of an award of common stock subject to restrictions. At the time restricted stock is granted, the Compensation Committee shall determine whether the restricted stock is performance stock (where the lapse of restrictions is based on performance targets), or restricted stock that is not performance stock (where the lapse of restrictions is based on times and/or conditions determined by the Compensation Committee). The Company holds the common stock during the restriction period and the participant cannot transfer the shares before the end of that period. The participant is, however, generally entitled to vote the common stock and receive any cash dividends declared and paid on common stock of the Company during the restriction period.</w:t>
      </w:r>
    </w:p>
    <w:p>
      <w:pPr>
        <w:spacing w:after="0" w:line="16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For performance stock awards, the restrictions lapse only to the extent performance goals established by the Compensation Committee are met. The Compensation Committee may select one or more performance criteria for each performance stock award from the following list: profit before taxes, earnings before or after taxes, interest, depreciation and/or amortization, stock price, market share, gross revenue, net revenue, pre-tax income, operating income, cash flow, earnings per share, return on equity, return on invested capital or assets, cost reductions and savings, return on revenues or productivity, or any variations of the preceding business criteria. The criteria may be applied to the individual, a division, a regional business unit, the Company or a subsidiary of the Company. Additional business criteria on which an individual’s performance may be measured are implementing policies and plans, negotiating transactions and sales, developing long-term business goals and exercising managerial responsibility.</w:t>
      </w:r>
    </w:p>
    <w:p>
      <w:pPr>
        <w:spacing w:after="0" w:line="166"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The restrictions lapse for restricted stock awards that are not performance stock awards on the earliest of the date or event determined by the Compensation Committee.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A restricted stock unit entitles a recipient to receive one share of the Company’s common stock, cash equal to the fair market value of a share of the Company’s common stock on the date of vesting, or a combination thereof, with respect to each restricted stock unit that vests in accordance with the award of such restricted stock unit. A bookkeeping account is established for each recipient of a restricted stock unit award that shows the number of restricted stock units granted, and may include full and fractional restricted stock units representing any cash dividends prior to the date the restricted stock unit vests. Performance stock units vest only to the extent performance goals established by the Compensation Committee are met. The Compensation Committee may select one or more performance criteria for each award of performance stock units from the above list for performance stock awards. Restricted stock units that are not performance stock units vest on the date or event determined by the Compensation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Grants: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Compensation Committee may make grants of unrestricted common stock to eligible recipients. Such stock grants shall be fully vested on the date granted.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b w:val="1"/>
          <w:bCs w:val="1"/>
          <w:i w:val="1"/>
          <w:iCs w:val="1"/>
          <w:color w:val="auto"/>
        </w:rPr>
        <w:t>Transferability</w:t>
      </w:r>
      <w:r>
        <w:rPr>
          <w:rFonts w:ascii="Arial" w:cs="Arial" w:eastAsia="Arial" w:hAnsi="Arial"/>
          <w:sz w:val="17"/>
          <w:szCs w:val="17"/>
          <w:color w:val="auto"/>
        </w:rPr>
        <w:t>. Awards generally are not transferable, except by will or under the laws of descent and distribution. The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the authority to the extent permitted under the Code, however, to permit an employee, non-employee director or consultant to transfer non-qualified stock options, restricted stock, restricted stock units and stock appreciation rights to certain permitted transferees.</w:t>
      </w:r>
    </w:p>
    <w:p>
      <w:pPr>
        <w:spacing w:after="0" w:line="16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Acceleration of Vesting</w:t>
      </w:r>
      <w:r>
        <w:rPr>
          <w:rFonts w:ascii="Arial" w:cs="Arial" w:eastAsia="Arial" w:hAnsi="Arial"/>
          <w:sz w:val="17"/>
          <w:szCs w:val="17"/>
          <w:color w:val="auto"/>
        </w:rPr>
        <w:t>. All awards (other than performance-based awards) vest on a pro-rata basis (based on active service during the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vesting period) upon a termination due to death or disability. The Compensation Committee may, in its discretion, provide for the acceleration or continuation of the vesting of all awards (other than performance-based awards) following termination of service, if it determines that to do so would be in the best interests of the Company. Upon a change in control of the Company (as defined in the 2021 Incentive Plan), to the extent that the Awards are not assumed by the acquiring or succeeding corporation, all outstanding options and stock appreciation rights become exercisable, all outstanding restricted stock becomes vested, and all outstanding restricted stock units become vested.</w:t>
      </w:r>
    </w:p>
    <w:p>
      <w:pPr>
        <w:spacing w:after="0" w:line="17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b w:val="1"/>
          <w:bCs w:val="1"/>
          <w:i w:val="1"/>
          <w:iCs w:val="1"/>
          <w:color w:val="auto"/>
        </w:rPr>
        <w:t>Change in Capitalization/Certain Corporate Transactions</w:t>
      </w:r>
      <w:r>
        <w:rPr>
          <w:rFonts w:ascii="Arial" w:cs="Arial" w:eastAsia="Arial" w:hAnsi="Arial"/>
          <w:sz w:val="16"/>
          <w:szCs w:val="16"/>
          <w:color w:val="auto"/>
        </w:rPr>
        <w:t>. If there is a change in the capitalization of the Company that affects its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the Compensation Committee will adjust the kind and aggregate number of shares of common stock subject to awards, together with the option exercise price and amount over which appreciation of stock appreciation rights is measured. The 2021 Incentive Plan also provides that, in the event of a merger, consolidation or other specified corporate transaction, with respect to awards that will not be assumed or substituted, the Compensation Committee may (i) terminate outstanding awards after providing notice to holders specifying a period of time by which they may exercise their options or (ii) terminate outstanding awards and pay to the holders the value of such awards based upon the price per share of stock received or to be received by other shareholders of the Company in the event (except that underwater options and stock appreciation rights would receive no payment) or replace the award with rights or property selected by the Compensation Committee in its sole discretion.</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2021 Incentive Plan will be effective on the date adopted by the Board of Directors, subject to approval by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Amendment/Termination</w:t>
      </w:r>
      <w:r>
        <w:rPr>
          <w:rFonts w:ascii="Arial" w:cs="Arial" w:eastAsia="Arial" w:hAnsi="Arial"/>
          <w:sz w:val="18"/>
          <w:szCs w:val="18"/>
          <w:color w:val="auto"/>
        </w:rPr>
        <w:t>. The Compensation Committee may amend outstanding awards, and the Board of Directors may amend or suspend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Incentive Plan. However, shareholder approval is required for (1) any material amendment to the 2021 Incentive Plan (as defined under applicable NASDAQ Listing Standards), (2) an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amendment to “reprice” an outstanding option or stock appreciation right, and (3) certain amendments of which the 2021 Incentive Plan requires shareholder approval, such as an increase in the number of shares of common stock authorized for issuance of incentive stock options and a change in the class of employees who may receive incentive stock options under the 2021 Incentive Plan.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Board of Directors may terminate the 2021 Incentive Plan at any time and for any reason. No awards will be granted under the 2021 Incentive Plan after the close of business on the day immediately preceding the tenth anniversary of the effective date of the 2021 Incentive Plan or any earlier termination date determined by the Board.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b w:val="1"/>
          <w:bCs w:val="1"/>
          <w:i w:val="1"/>
          <w:iCs w:val="1"/>
          <w:color w:val="auto"/>
        </w:rPr>
        <w:t>Clawback</w:t>
      </w:r>
      <w:r>
        <w:rPr>
          <w:rFonts w:ascii="Arial" w:cs="Arial" w:eastAsia="Arial" w:hAnsi="Arial"/>
          <w:sz w:val="18"/>
          <w:szCs w:val="18"/>
          <w:color w:val="auto"/>
        </w:rPr>
        <w:t>. A participant’s right to receive an award, to retain amounts payable under the award, and to retain any profit or gain associated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non-cash award are all subject to any recoupment or “clawback” policy adopted by the Company.</w:t>
      </w:r>
    </w:p>
    <w:p>
      <w:pPr>
        <w:spacing w:after="0" w:line="170"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Registration under the Securities Act of 1933. </w:t>
      </w:r>
      <w:r>
        <w:rPr>
          <w:rFonts w:ascii="Arial" w:cs="Arial" w:eastAsia="Arial" w:hAnsi="Arial"/>
          <w:sz w:val="18"/>
          <w:szCs w:val="18"/>
          <w:color w:val="auto"/>
        </w:rPr>
        <w:t>The Company intends to file with the Securities and Exchange Commission a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on Form S-8 to register the shares of the Company’s common stock subject to the 2021 Incentive Plan upon the consummation of this offering.</w:t>
      </w:r>
    </w:p>
    <w:p>
      <w:pPr>
        <w:spacing w:after="0" w:line="184"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Indemnification Agreements. </w:t>
      </w:r>
      <w:r>
        <w:rPr>
          <w:rFonts w:ascii="Arial" w:cs="Arial" w:eastAsia="Arial" w:hAnsi="Arial"/>
          <w:sz w:val="18"/>
          <w:szCs w:val="18"/>
          <w:color w:val="auto"/>
        </w:rPr>
        <w:t>We have entered into or plan to enter into indemnification agreements with each of our directors and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The indemnification agreements and our amended &amp; restated certificate of incorporation and amended &amp; restated bylaws will require us to indemnify our directors and executive officers to the fullest extent permitted by Delaware law.</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Federal Income Tax Consequences – Options. </w:t>
      </w:r>
      <w:r>
        <w:rPr>
          <w:rFonts w:ascii="Arial" w:cs="Arial" w:eastAsia="Arial" w:hAnsi="Arial"/>
          <w:sz w:val="18"/>
          <w:szCs w:val="18"/>
          <w:color w:val="auto"/>
        </w:rPr>
        <w:t>We have been advised that the Federal income tax consequences of granting and exercising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under the 2021 Incentive Plan are as follows (based on Federal tax laws and regulations, as of January 1, 2021). The grant of an option does not result in Federal income tax consequences for the optionee or a deduction for the Company.</w:t>
      </w:r>
    </w:p>
    <w:p>
      <w:pPr>
        <w:spacing w:after="0" w:line="184"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When an option is exercised, the Federal income tax consequences depend on whether the option is an incentive stock option or a non-qualified stock option. An optionee exercising a non-qualified stock option will recognize ordinary income equal to the difference between the fair market value of the stock exercised (on the date of exercise) and the exercise price. An employee will generally not recognize taxable income as a result of acquiring stock by exercising an incentive stock option. If the employee holds the stock he receives on exercise of an incentive stock option for a required period of time, the employee will have capital gain (or loss) when the stock is later disposed of. If the employee does not hold the stock for the required period of time, the employee will generally have ordinary income when the stock is disposed of. When an optionee recognizes ordinary income on the exercise of a non-qualified stock option or the sale of stock acquired on exercise of an incentive stock option, the Company is generally entitled to a deduction in the same amount.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voting stock as of May 15, 2021, and as adjusted to reflect the sale of common stock offered by us and the selling stockholders in our initial public offering, for:</w:t>
      </w:r>
    </w:p>
    <w:p>
      <w:pPr>
        <w:spacing w:after="0" w:line="7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of our named executive officers and directors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other stockholder known by us to be the beneficial owner of more than 5% of the outstanding shares of our voting stock.</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that they beneficially own, subject to applicable community property laws. Unless otherwise indicated in the footnotes below, based on the information provided to us by or on behalf of the selling stockholders, no selling stockholder is a broker-dealer or an affiliate of a broker-dealer.</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computing the number of shares of common stock beneficially owned by a person and the percentage ownership of that person, we deemed to be outstanding all shares of common stock subject to options or other convertible securities held by that person or entity that are currently exercisable or releasable or that will become exercisable or releasable within 60 days of May 15, 2021. We did not deem these shares outstanding, however, for the purpose of computing the percentage ownership of any other person. The applicable percentage ownership information prior to the offering is based on shares of common stock outstanding at May 15, 2021, assuming the (i) reorganization, which reflects the automatic conversion of common units into an equal number of shares of common stock and (ii) the automatic conversion all of our preferred convertible stock outstanding, but not including accrued dividends payable . The applicable percentage ownership information after the offering is based on the sale of shares of common stock in this offering (assuming an initial public offering price of $ per share, which is the midpoint of the price range set forth on the cover page of this prospectus) and gives effect to the accrued dividends to be paid in shares of our common stock in connection with the automatic conversion of our preferred stock into common stock. The percentage ownership information assumes no exercise of the underwriter’s (i) option to purchase additional shares or (ii) the Underwriting Warrant to purchase shares of our common stock at an exercise price per share equal to 125% of the initial public offering price per share or $16.25, based on an assumed initial public offering price of $13.00 per share, which is the midpoint of the price range set forth on the cover page of this prospectus. Unless otherwise indicated, the address of each beneficial owner listed in the table below is c/o the Company, 3675 Market Street, Suite 200 Philadelphia, Pennsylvania 19104.</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Certain of our existing stockholders, including certain of our directors and officers and entities affiliated with certain of our directors, have indicated an interest in purchasing an aggregate of up to approximately $1.0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 The following table does not reflect any such potential purchases by these existing stockholders or their affiliated entities. If any shares are purchased by these stockholders, the number of shares of common stock beneficially owned after this offering and the percentage of common stock beneficially owned after this offering would increase from that set forth in the table below.</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4"/>
                <w:szCs w:val="14"/>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Percentage of</w:t>
            </w:r>
          </w:p>
        </w:tc>
      </w:tr>
      <w:tr>
        <w:trPr>
          <w:trHeight w:val="148"/>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2"/>
                <w:szCs w:val="12"/>
                <w:color w:val="auto"/>
              </w:rPr>
            </w:pPr>
          </w:p>
        </w:tc>
        <w:tc>
          <w:tcPr>
            <w:tcW w:w="19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Common Stock</w:t>
            </w:r>
          </w:p>
        </w:tc>
      </w:tr>
      <w:tr>
        <w:trPr>
          <w:trHeight w:val="162"/>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560" w:type="dxa"/>
            <w:vAlign w:val="bottom"/>
          </w:tcPr>
          <w:p>
            <w:pPr>
              <w:spacing w:after="0"/>
              <w:rPr>
                <w:sz w:val="14"/>
                <w:szCs w:val="14"/>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Beneficially Owned</w:t>
            </w:r>
          </w:p>
        </w:tc>
      </w:tr>
      <w:tr>
        <w:trPr>
          <w:trHeight w:val="119"/>
        </w:trPr>
        <w:tc>
          <w:tcPr>
            <w:tcW w:w="5200" w:type="dxa"/>
            <w:vAlign w:val="bottom"/>
          </w:tcPr>
          <w:p>
            <w:pPr>
              <w:spacing w:after="0"/>
              <w:rPr>
                <w:sz w:val="10"/>
                <w:szCs w:val="10"/>
                <w:color w:val="auto"/>
              </w:rPr>
            </w:pPr>
          </w:p>
        </w:tc>
        <w:tc>
          <w:tcPr>
            <w:tcW w:w="1600" w:type="dxa"/>
            <w:vAlign w:val="bottom"/>
            <w:gridSpan w:val="2"/>
          </w:tcPr>
          <w:p>
            <w:pPr>
              <w:jc w:val="center"/>
              <w:ind w:left="672"/>
              <w:spacing w:after="0" w:line="119" w:lineRule="exact"/>
              <w:rPr>
                <w:sz w:val="20"/>
                <w:szCs w:val="20"/>
                <w:color w:val="auto"/>
              </w:rPr>
            </w:pPr>
            <w:r>
              <w:rPr>
                <w:rFonts w:ascii="Arial" w:cs="Arial" w:eastAsia="Arial" w:hAnsi="Arial"/>
                <w:sz w:val="13"/>
                <w:szCs w:val="13"/>
                <w:b w:val="1"/>
                <w:bCs w:val="1"/>
                <w:color w:val="auto"/>
              </w:rPr>
              <w:t>Owned Prior</w:t>
            </w:r>
          </w:p>
        </w:tc>
        <w:tc>
          <w:tcPr>
            <w:tcW w:w="56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Before</w:t>
            </w: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After</w:t>
            </w:r>
          </w:p>
        </w:tc>
        <w:tc>
          <w:tcPr>
            <w:tcW w:w="200" w:type="dxa"/>
            <w:vAlign w:val="bottom"/>
          </w:tcPr>
          <w:p>
            <w:pPr>
              <w:spacing w:after="0"/>
              <w:rPr>
                <w:sz w:val="10"/>
                <w:szCs w:val="10"/>
                <w:color w:val="auto"/>
              </w:rPr>
            </w:pPr>
          </w:p>
        </w:tc>
      </w:tr>
      <w:tr>
        <w:trPr>
          <w:trHeight w:val="171"/>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to Offering</w:t>
            </w:r>
          </w:p>
        </w:tc>
        <w:tc>
          <w:tcPr>
            <w:tcW w:w="14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Offering</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Martin Lehr (1)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947,277</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18.4%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Alex Levit (2)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10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Tarek Sahmoud, MD, PhD</w:t>
            </w:r>
          </w:p>
        </w:tc>
        <w:tc>
          <w:tcPr>
            <w:tcW w:w="780" w:type="dxa"/>
            <w:vAlign w:val="bottom"/>
          </w:tcPr>
          <w:p>
            <w:pPr>
              <w:spacing w:after="0"/>
              <w:rPr>
                <w:sz w:val="18"/>
                <w:szCs w:val="18"/>
                <w:color w:val="auto"/>
              </w:rPr>
            </w:pPr>
          </w:p>
        </w:tc>
        <w:tc>
          <w:tcPr>
            <w:tcW w:w="8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Bill Rencher, PhD (3)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110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Evan G. Dick, PhD (4)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38,293</w:t>
            </w:r>
          </w:p>
        </w:tc>
        <w:tc>
          <w:tcPr>
            <w:tcW w:w="110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Richard Berman (5)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Jenifer Evans Stacey, Esq. (6)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110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Philip Kantoff (7)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10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Linda West (8)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110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(9 persons)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1,014,421</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r>
      <w:tr>
        <w:trPr>
          <w:trHeight w:val="229"/>
        </w:trPr>
        <w:tc>
          <w:tcPr>
            <w:tcW w:w="5200" w:type="dxa"/>
            <w:vAlign w:val="bottom"/>
          </w:tcPr>
          <w:p>
            <w:pPr>
              <w:spacing w:after="0"/>
              <w:rPr>
                <w:sz w:val="20"/>
                <w:szCs w:val="20"/>
                <w:color w:val="auto"/>
              </w:rPr>
            </w:pPr>
            <w:r>
              <w:rPr>
                <w:rFonts w:ascii="Arial" w:cs="Arial" w:eastAsia="Arial" w:hAnsi="Arial"/>
                <w:sz w:val="18"/>
                <w:szCs w:val="18"/>
                <w:b w:val="1"/>
                <w:bCs w:val="1"/>
                <w:color w:val="auto"/>
              </w:rPr>
              <w:t>Greater than 5% Holders</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Seth Lehr (9)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706,408</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Joseph Ventures Allium LLC (10)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512,522</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9.7%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Integral Molecular, Inc. (11)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418,559</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less than 1% of outstanding shares of common stock.</w:t>
      </w:r>
    </w:p>
    <w:p>
      <w:pPr>
        <w:spacing w:after="0" w:line="23" w:lineRule="exact"/>
        <w:rPr>
          <w:sz w:val="20"/>
          <w:szCs w:val="20"/>
          <w:color w:val="auto"/>
        </w:rPr>
      </w:pPr>
    </w:p>
    <w:p>
      <w:pPr>
        <w:ind w:left="5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(i) 89,583 shares of common stock issuable upon the conversion of common units; (ii) 210,722 shares of common stock issuable upon the conversion of the Series A convertible preferred stock (“Series A Units”) held by Martin Lehr 2000 Trust; (iii) 586,476 shares of common stock issuable upon the conversion of Series Seed convertible preferred stock (“Series Seed Units”) held by Martin Lehr 2000 Trust; (iv) 52,680 shares of common stock issuable upon the exercise of warrants to purchase common stock resulting from the conversion of warrants to purchase common units held by Martin Lehr 2000 Trust; and (v) 31,261 shares of common stock issuable upon exercise of stock options that are exercisable within 60 days of June 15, 2021.</w:t>
      </w:r>
    </w:p>
    <w:p>
      <w:pPr>
        <w:spacing w:after="0" w:line="2"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6,694 shares of common stock issuable upon exercise of stock options that are exercisable within 60 days of June 15, 2021, resulting from the automatic conversion of stock options to purchase common units.</w:t>
      </w:r>
    </w:p>
    <w:p>
      <w:pPr>
        <w:ind w:left="540" w:right="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(i) 1,666 shares of common stock issuable upon the conversion of common units; and (ii) 8,627 shares of common stock issuable upon exercise of stock options that are exercisable within 60 days of June 15, 2021, resulting from the automatic conversion of stock options to purchase common units.</w:t>
      </w:r>
    </w:p>
    <w:p>
      <w:pPr>
        <w:spacing w:after="0" w:line="1"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(i) 10,456 shares of common stock issuable upon the conversion of common units; (ii) 26,587 shares of common stock issuable upon the conversion of Series Seed Units; and (iii) 1,666 shares of common stock issuable upon exercise of stock options that are exercisable within 60 days of June 15, 2021, resulting from the automatic conversion of stock options to purchase common units.</w:t>
      </w:r>
    </w:p>
    <w:p>
      <w:pPr>
        <w:ind w:left="540" w:hanging="424"/>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3,333 shares of common stock issuable upon exercise of stock options that are exercisable within 60 days of May 15, 2021.</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1,666 shares of common stock issuable upon exercise of stock options that are exercisable within 60 days of June 15, 2021.</w:t>
      </w:r>
    </w:p>
    <w:p>
      <w:pPr>
        <w:spacing w:after="0" w:line="20" w:lineRule="exact"/>
        <w:rPr>
          <w:rFonts w:ascii="Arial" w:cs="Arial" w:eastAsia="Arial" w:hAnsi="Arial"/>
          <w:sz w:val="17"/>
          <w:szCs w:val="17"/>
          <w:color w:val="auto"/>
        </w:rPr>
      </w:pPr>
    </w:p>
    <w:p>
      <w:pPr>
        <w:ind w:left="540" w:right="3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(i) 3,533 shares of common stock issuable upon the conversion of common units and 1,666 shares of common stock issuable upon exercise of stock options that are exercisable within 60 days of June 15, 2021.</w:t>
      </w:r>
    </w:p>
    <w:p>
      <w:pPr>
        <w:ind w:left="540" w:hanging="424"/>
        <w:spacing w:after="0"/>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1,666 shares of common stock issuable upon exercise of stock options that are exercisable within 60 days of June 15, 2021.</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(i) 430,467 shares of common stock issuable upon the conversion of Series A Units which are issuable upon the conversion of the Senior Convertible Notes; (ii) 262,659 shares of common stock issuable upon the conversion of Series Seed Units; and (iii) 13,281 shares of common stock issuable upon the exercise of warrants to purchase common stock resulting from the conversion of warrants to purchase common units.</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Consists of (i) 261,865 shares of common stock issuable upon the conversion of Series A Units; (ii) 152,455 shares of common stock issuable upon the conversion of Series Seed Units; and (iii) 98,200 shares of common stock issuable upon the exercise of warrants to purchase common stock resulting from the conversion of warrants to purchase common units. Joseph Ventures Allium LLC is the beneficial owner of such shares and Michael Ross holds voting and investment control over Joseph Ventures Allium LLC.</w:t>
      </w: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418,559 shares of common stock issuable upon the conversion of Series A Units.</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40"/>
          </w:cols>
          <w:pgMar w:left="320" w:top="459" w:right="6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Junior Convertible Note</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From inception through December 2018, the Company issued Junior Convertible Notes that had a fair value of $15.8 million and bore interest at rates ranging from 3.00% to 7.77% per year. From January 2019 to April 2019, the Company issued Junior Convertible Notes in the aggregate principal amount of $1.5 million that bore interest at rates ranging between 6.00% and 15.00% per year. From April 2015 through December 2017, the Company issued demand notes to the Company’s Chief Executive Officer and an immediate family member (the “Related Party”) with an aggregate principal balance of $1.8 million that bore interest at rates ranging from 3.00% to 6.00% per year. During April 2019, $1.9 million of principal and interest was converted from demand notes to a Junior Convertible Note bearing interest at a rate of 15.00%. Additionally, in July 2019, the Company issued</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 million of Junior Convertible Notes in lieu of severance payments to former executives, of which $0.9 million and $0.3 million were expensed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and administrative and research and development expense, respectively, during the year ended December 31, 2019. On December 31, 2019,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$5.7 million of Junior Convertible Notes outstanding were held by the Related Party. The Junior Convertible Notes outstanding principal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$10.2 million and accrued but unpaid interest of $1.5 million converted into 2,615,553 Series Seed Convertible Preferred Units (the “Series Seed Units”)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May 2020, of which 840,363 were issued to the Related Party.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Bridge Notes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From October 2019 to March 2020, the Company issued convertible bridge notes (the “Convertible Bridge Notes”) to the Related Party in the amount of $0.5 million. The Convertible Bridge Notes bore interest at a rate of 6.0% per annum and on December 22, 2020, the outstanding principal and accrued interest of $35,000 converted into 78,178 Series A Units that were issued to the Related Party.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Convertible Note</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April 2020, $5.1 million of principal and $0.6 million of accrued interest related to certain Junior Convertible Notes were converted into Senior Convertible Notes. Of the Senior Convertible Notes issued in April 2020, $2.5 million of principal and $0.4 million of accrued interest were issued to the Related Party. On February 18, 2021, the outstanding principal and interest of the Senior Convertible Notes was automatically converted into 844,824 Series A Units, of which 430,467 Series A Units were issued to the Related Party, at a price per share of $7.168 pursuant to the terms of a Qualified Financing as described below. Prior to such conversion, however, the Senior Convertible Notes accrued interest at a rate of 6.0% per year and had an anticipated maturity date of December 31, 2021. Under the terms of the Senior Convertible Notes, in the event of a qualified financing, whereby the Company issued and sold its Series A Preferred Units (“Series A Units”) and raised capital of at least $2.5 million of total gross proceeds in cash (a “Qualified Financing”), the outstanding principal and interest of the Senior Convertible Notes would automatically convert into Series A Units at a price equal to the issue price per share of the units issued in the Qualified Financing and on the same terms and conditions of such Qualified Financing.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Units and Series Seed Preferred Units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May 2020, the Company converted $11.7 million of principal and interest related to certain Junior Convertible Notes into 2,615,553 Series Seed Units at prices ranging from $4.28 to $4.56 per unit. In May 2020, the Related Party purchased 8,771 Series Seed Units at a price of $5.70 per unit for $50,000.</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Throughout 2020 the Company sold 132,537 Series A Units to the Related Party for $7.168 per unit for proceeds of $1.0 million. The Company also issued 52,673 warrants to purchase common member units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Member Units”) at an exercise price of $7.168 to the holders of Series A Units as part of the Series A financing.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certain terms of the Series A Units and Series Seed Units (collectively, “Convertible Preferred Units”):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Holders of Series A Units shall receive a non-cumulative distribution of 6% per year of the original capital contribution, which shall be payable upon the event of any voluntary or involuntary liquidation, dissolution or winding up of the Company (“Dissolution Event”), or the redemption or repurchase of any Series A Units. Series Seed Units do not receive a distribution right.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Upon a Dissolution Event, the holders of Series A Units shall receive the greater of 1.5 times the original issuance price plus any accrued distributions or the amount that such holders of Series A Units would receive if the Series A Units were converted to Common Member Units, prior to any distribution with respect to Series Seed Units or Common Member Units.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After amounts paid out to the Series A Units upon a Dissolution Event, the Series Seed Units then outstanding shall be entitled to be paid out in accordance with the positive balance in their capital accounts with respect to their Series Seed Units, after giving effect to all contributions, distributions and allocations with respect to such Series Seed Units for all periods, before any payment shall be made to the holders of Common Member Units.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Each Convertible Preferred Unit is convertible, at the option of the holder thereof, at any time, and without the payment of additional consideration, into a number of fully paid and nonassessable common member units as determined by dividing the original issue price for the Convertible Preferred Unit by the conversion price for the Convertible Preferred Unit in effect at the time of conversion, except as otherwise defined in the Operating Agreement (the “Operating Agreement”). Notwithstanding the foregoing, in the event of a liquidation, dissolution, or winding up of the Company or acquisition of the majority of the Company’s assets, the Series Seed Unit conversion right will terminate at the close of business on the last full day preceding the date fixed for the first payment of any funds and assets distributable on such event to the Members holding Series Seed Units. No fractional Common Member Units will be issued upon conversion of the Convertible Preferred Unit. In lieu of any fractional units, the Company shall pay cash equal to such fraction multiplied by the fair market value of a Common Member Unit as determined in good faith by the Management Committee of the Company.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 for Common Member Units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Since inception, the Company has granted warrants to the Related Party to purchase Common Member Units at various dates. At December 31, 2020, the Company had the following warrants outstanding to acquire Common Member Units: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Issue Date</w:t>
            </w:r>
          </w:p>
        </w:tc>
        <w:tc>
          <w:tcPr>
            <w:tcW w:w="514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2200" w:type="dxa"/>
            <w:vAlign w:val="bottom"/>
            <w:gridSpan w:val="4"/>
          </w:tcPr>
          <w:p>
            <w:pPr>
              <w:ind w:left="660"/>
              <w:spacing w:after="0"/>
              <w:rPr>
                <w:sz w:val="20"/>
                <w:szCs w:val="20"/>
                <w:color w:val="auto"/>
              </w:rPr>
            </w:pPr>
            <w:r>
              <w:rPr>
                <w:rFonts w:ascii="Arial" w:cs="Arial" w:eastAsia="Arial" w:hAnsi="Arial"/>
                <w:sz w:val="14"/>
                <w:szCs w:val="14"/>
                <w:b w:val="1"/>
                <w:bCs w:val="1"/>
                <w:color w:val="auto"/>
              </w:rPr>
              <w:t>Exercise Price</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 Dates</w:t>
            </w:r>
          </w:p>
        </w:tc>
      </w:tr>
      <w:tr>
        <w:trPr>
          <w:trHeight w:val="203"/>
        </w:trPr>
        <w:tc>
          <w:tcPr>
            <w:tcW w:w="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13,281</w:t>
            </w:r>
          </w:p>
        </w:tc>
        <w:tc>
          <w:tcPr>
            <w:tcW w:w="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6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April 2039</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2020</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52,680</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6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December 2025</w:t>
            </w:r>
          </w:p>
        </w:tc>
      </w:tr>
    </w:tbl>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more information regarding the Senior Convertible Notes, Junior Convertible Notes, Convertible Bridge Notes, Series A Units and Series Seed Units, see Notes 5 and 6 to our consolidated financial statements included elsewhere in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Integral Transaction</w:t>
      </w:r>
    </w:p>
    <w:p>
      <w:pPr>
        <w:spacing w:after="0" w:line="11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In April 2021, we entered into a collaboration and licensing agreement with Integral Molecular, Inc. (“Integral”) for the development of CLDN6xCD3 bsAb. Under the terms of the agreement, we will conduct preclinical and all clinical development, as well as regulatory and commercial activities through exclusive worldwide rights to develop and commercialize the novel CLDN6xCD3 bsAb candidates. We paid an upfront license fee of $0.3 million and granted Integral 418,559 Series A Units with a fair market value of approximately $2.8 million. As a part of the agreement, Integral will be eligible to receive development and regulatory milestone payments totaling up to $55.3 million, sales milestone payments totaling up to $130 million, and tiered royalties of up to 12% of net sales of certain products developed under this agreement. See “Business—Our Collaboration and License Agreements” for more information.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Seed Units Sales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May 1, 2020, Laura Spain was granted 29,125 Series Seed Units at a per unit price of $4.28 and 23,858 Series Seed Units at a per unit price of $4.56, in exchange for her Junior Convertible Notes. Ms. Spain is the spouse of our Chief Legal Officer.</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Further, on May 1, 2020, PCL Investments was granted 57,781 Series Seed Units at a per unit price of $0.71 and 72,094 Series Seed Units at a per unit price of $4.56, in exchange for its Junior Convertible Notes. PCL Investments is jointly owned by Ms. Spain, who is the spouse of our Chief Legal Officer, and Peter Spain and Craig Spain, who are the brother in-laws of our Chief Legal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Participation in This Offering</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Certain of our existing stockholders, including certain of our directors and officers and entities affiliated with certain of our directors, have indicated an interest in purchasing an aggregate of up to approximately $1.0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description of our capital stock and certain provisions of the amended &amp; restated our certificate of incorporation and amended &amp; restated bylaws that will be in effect upon the closing of this offering are summaries.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Upon the closing of the offering and the filing of our amended &amp; restated certificate of incorporation, our authorized capital stock will consist of 100,000,000 shares of common stock, par value $0.001 per share and 10,000,000 shares of preferred stock, par value $0.001 per share. As of March 31, 2021, 352,673 shares of our common stock were outstanding, and 4,836,868 shares of our preferred stock were outstanding. Following the completion of the offering, 6,876,716 shares of our common stock will be outstanding and no shares of our preferred stock will be outstanding assuming no exercise by the underwriter of its over-allotment option.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shareholders. A majority vote of the holders of common stock will generally required to take action under our amended &amp; restated certificate of incorporation and amended &amp; restated bylaws.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and no sinking fund provisions are applicable to our common stock. The rights, preferences and privileges of holders of our common stock are subject to, and may be adversely affected by, the rights of the holders of shares of any series of preferred stock that we may designate and issue in the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Upon the closing of the offering, our board of directors will have the authority, without further action by the shareholders, to issue up to 10,000,000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change in our control or other corporate action.</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board of directors will make any determination to issue shares of preferred stock based on its judgment as to the best interests of the Company and the best interests of our shareholders. Upon the completion of this offering, we will have no shares of preferred stock outstanding and we have no current plans to issue any shares of preferred stock following completion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Anti-Takeover Effects of Provisions of Our Amended &amp; Restated Certificate of Incorporation, Amended &amp; Restated Bylaws and Delaware Law</w:t>
      </w:r>
    </w:p>
    <w:p>
      <w:pPr>
        <w:spacing w:after="0" w:line="14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Some provisions of Delaware law and our amended &amp; restated certificate of incorporation and our amended &amp; restated bylaws that will be in effect immediately prior to the completion of this offering contain provisions that could make the following transactions more difficult: acquisition of us by means of a tender offer;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acquisition of us by means of a proxy contest or otherwise; or removal of our incumbent officers and directors. It is possible that these provisions could make it more difficult to accomplish or could deter transactions that shareholders may otherwise consider to be in their best interest or in our best interests, including transactions that might result in a premium over the market price for our shares.</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3" w:lineRule="exact"/>
        <w:rPr>
          <w:sz w:val="20"/>
          <w:szCs w:val="20"/>
          <w:color w:val="auto"/>
        </w:rPr>
      </w:pPr>
    </w:p>
    <w:p>
      <w:pPr>
        <w:ind w:left="10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1080" w:right="14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080" w:right="54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Written Consent of Shareholders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amended &amp; restated certificate of incorporation will provide that all shareholder actions are required to be taken by a vote of the shareholders at an annual or special meeting, and that shareholders may not take any action by written consent in lieu of a meeting. This limit may lengthen the amount of time required to take shareholder actions and would prevent the amendment of our amended and restated bylaws or removal of directors by our shareholders without holding a meeting of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amended &amp; restated bylaws will provide that a special meeting of shareholders may be called only by our chairman of the board of directors, Chief Executive Officer or by a resolution adopted by a majority of our board of directors, and only those matters set forth in the notice of the special meeting may be considered or acted upon at a special meeting of shareholders. Our amended and restated bylaws will also limit the business that may be conducted at an annual meeting of shareholders to those matters properly brought before the meeting.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Our amended &amp; restated bylaws will 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will specify the requirements as to form and content of all shareholders’ notices. These requirements may preclude shareholders from bringing matters before the shareholders at an annual or special meeting.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Our Certificate of Incorporation</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amended &amp; restated certificate of incorporation will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shareholders, our board of directors could cause shares of preferred stock to be issued without shareholder approval in one or more private offerings or other transactions that might dilute the voting or other rights of the proposed acquirer or insurgent shareholder or shareholder group. In this regard, our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Our amended &amp; restated certificate of incorporation will provide that, unless we consent in writing to the selection of an alternative form, the Court of Chancery of the State of Delaware (or, if the Court of Chancery does not have jurisdiction, the United States District Court for the District of Delaware) will be the sole and exclusive forum for: (1) any derivative action or proceeding brought on our behalf; (2) any action asserting a</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claim of breach of a fiduciary duty or other wrongdoing by any of our directors, officers, employees or agents to us or our shareholders; (3) any action asserting a claim against us arising pursuant to any provision of the General Corporation Law of the State of Delaware or our amended &amp; restated certificate of incorporation or amended &amp; restated bylaws; (4) any action to interpret, apply, enforce or determine the validity of our amended &amp; restated certificate of incorporation or amended &amp; restated bylaws; or (5) any action asserting a claim governed by the internal affairs doctrine. In addition, our amended &amp; restated certificate of incorporation will provide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&amp;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the choice of forum provisions contained in our amended &amp; restated certificate of incorporation are inapplicable or unenforceable if they are challenged in a proceeding or otherwise. Although we believe these provisions benefit us by providing increased consistency in the application of Delaware law and the Securities Act for the specified types of actions and proceedings, the provisions may have the effect of discouraging lawsuits against us or our directors and officers.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December 22, 2020, we entered into a voting agreement with the investors in our Series A Preferred Unit financing, pursuant to which such investors agreed to vote, or cause to be voted, all shares held by them from time to time to ensure that, at each annual or special meeting of unitholders at which an election of managers is held or pursuant to any written consent of the unitholders, one person designated by a majority of the Series A Preferred Unit investors shall be elected to serve as a managers. The agreement also provides that: (i) four individuals not otherwise affiliates of the Company or of any Series A Preferred Unit investor who are mutually acceptable to the holders of a majority of the common units of the Company; and (ii) the Company’s Chief Executive Officer, shall be elected to serve as managers.</w:t>
      </w:r>
    </w:p>
    <w:p>
      <w:pPr>
        <w:spacing w:after="0" w:line="178"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color w:val="auto"/>
        </w:rPr>
        <w:t>In the absence of any designation from the major investors, the manager previously designated by them and then serving shall be reelected if still eligible and willing to serve and otherwise, such seat shall remain vacant. No manager elected pursuant to the terms of the agreement may be removed from office unless such removal is directed or approved by the affirmative vote of the 66% of the units entitled to designate or approve such manager.</w:t>
      </w:r>
    </w:p>
    <w:p>
      <w:pPr>
        <w:spacing w:after="0" w:line="2"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7"/>
          <w:szCs w:val="17"/>
          <w:color w:val="auto"/>
        </w:rPr>
        <w:t>Any vacancies created by the resignation, removal or death of such designated manager shall be filled in accordance with the foregoing. All parties to the voting agreement agreed to execute any written consents required to perform the foregoing obligations, and we agreed to call a special meeting of unitholders for the purpose of electing managers at the request of the person or group entitled to designate managers.</w:t>
      </w:r>
    </w:p>
    <w:p>
      <w:pPr>
        <w:spacing w:after="0" w:line="173"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Notwithstanding the foregoing, each person with a right to designate or participate in the designation of a manager agreed (i) not to designate or participate in the designation of any manager designee to whom, to such person’s knowledge, a “bad actor” disqualifying event described in Rule 506(d)</w:t>
      </w:r>
    </w:p>
    <w:p>
      <w:pPr>
        <w:ind w:left="120"/>
        <w:spacing w:after="0"/>
        <w:rPr>
          <w:sz w:val="20"/>
          <w:szCs w:val="20"/>
          <w:color w:val="auto"/>
        </w:rPr>
      </w:pPr>
      <w:r>
        <w:rPr>
          <w:rFonts w:ascii="Arial" w:cs="Arial" w:eastAsia="Arial" w:hAnsi="Arial"/>
          <w:sz w:val="16"/>
          <w:szCs w:val="16"/>
          <w:color w:val="auto"/>
        </w:rPr>
        <w:t>(1)(i)-(viii) under the Securities Act is applicable (which we refer to as a disqualified designee), except for a disqualifying event to which Rule 506(d)(2)</w:t>
      </w:r>
    </w:p>
    <w:p>
      <w:pPr>
        <w:spacing w:after="0" w:line="32" w:lineRule="exact"/>
        <w:rPr>
          <w:sz w:val="20"/>
          <w:szCs w:val="20"/>
          <w:color w:val="auto"/>
        </w:rPr>
      </w:pPr>
    </w:p>
    <w:p>
      <w:pPr>
        <w:jc w:val="both"/>
        <w:ind w:left="120" w:hanging="4"/>
        <w:spacing w:after="0" w:line="277" w:lineRule="auto"/>
        <w:tabs>
          <w:tab w:leader="none" w:pos="3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or (iii) or (d)(3) is applicable, and (ii) that in the event such person becomes aware that any individual previously designated by any such person is or has become a disqualified designee, such person shall as promptly as practicable take such actions as are necessary to remove such disqualified designee from the management committee and designate a replacement designee who is not a disqualified designee.</w:t>
      </w:r>
    </w:p>
    <w:p>
      <w:pPr>
        <w:spacing w:after="0" w:line="173"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Each party to the voting agreement also agreed, subject to certain conditions, to vote in favor of any sale of the company (as defined in the voting agreement) approved by (i) the holders of a majority of our common units then issued or issuable upon conversion of the Series A Preferred Units;</w:t>
      </w:r>
    </w:p>
    <w:p>
      <w:pPr>
        <w:ind w:left="120" w:right="220" w:hanging="4"/>
        <w:spacing w:after="0" w:line="255" w:lineRule="auto"/>
        <w:tabs>
          <w:tab w:leader="none" w:pos="3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management committee; (iii) the holders of a majority of our then outstanding common units (other than those issued or issuable upon conversion of the Series A Preferred Units) voting as a separate class, and (iv) a majority of the holders of our Series Seed Units, voting together with holders of the common units.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voting agreement shall terminate upon the consummation of this offering.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connection with the Series A Preferred Unit financing, on December 22, 2020, we entered into an Investors’ Rights Agreement with the investors, pursuant to which we provided the investors with certain demand registration rights. Pursuant to the Investors’ Rights Agreement and subject to certain exceptions set forth therein, if at any time when we are eligible to use a Form S-3 registration statement, we receive a request from the holders of at least 30% of the outstanding Series A Preferred Units or the common units issued upon conversion of the Series A Preferred Units or in certain other conversions or exercises (the “Registrable Securities”), we shall, within ten (10) days after the date such request is given, give a demand notice to all holders of Registrable Securities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of Registrable Securities, subject to certain limitations.</w:t>
      </w:r>
    </w:p>
    <w:p>
      <w:pPr>
        <w:spacing w:after="0" w:line="16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Additionally, in connection with any public registered offering of common units under the Securities Act, the Company shall, at such time, promptly give each holder notice of such registration. Upon the request of each Holder given within twenty (20) days after such notice is given by the Company, the Company shall cause to be registered all of the Registrable Securities that each such holder has requested to be included in such registration.</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Investors’ Rights Agreement also requires that if we propose to offer or sell any new securities, we must first offer such new securities to each Series A Preferred Units investor. This right of first offer does not apply to the shares of common stock that are being sold in this offering.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connection with the Series A Preferred Unit financing, on December 22, 2020, we entered into a Right of First Refusal and Co-Sale Agreement with the investors. Pursuant to the Right of First Refusal and Co-Sale Agreement, the investors provided us with a right of first refusal to purchase any of our common or preferred units (or common or preferred units issuable upon certain conversions or exercises) that such investors propose to transfer and also provided the investors with a secondary refusal right to purchase any such units that we do not elect to purchase. In addition, the right of first refusal and co-sale agreement provides the investors with a right of co-sale, pursuant to which, if the foregoing right of refusals are not exercised, the investors may elect to participate in the proposed sale on a pro rata basis.</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Notwithstanding the foregoing, these rights shall not apply (i) in the case of an investor that is an entity, upon a transfer by such investor to its unitholders, members, partners or other equity holders, (ii) to a repurchase of shares from an investor by us at a price no greater than that originally paid by such investor for such shares and pursuant to an agreement containing vesting and/or repurchase provisions approved by a majority of our management committee, (iii) to a pledge of units that creates a mere security interest in the pledged shares, provided that the pledgee thereof agrees in writing in advance to be bound by and comply with all applicable provisions of the right of first refusal and co-sale agreement to the same extent as if it were the investor making such pledge, or (iv) in the case of an investor that is a natural person, upon a transfer of shares by such investor made for bona fide estate planning purposes, either during his or her lifetime or on death by will or intestacy to his or her spouse, child (natural or adopted), or any other direct lineal descendant of such investor (or his or her spouse), or any custodian or trustee of any trust, partnership or limited liability company for the benefit of, or the ownership interests of which are owned wholly by such investor or any such family members; provided that the investor shall deliver prior written notice to the investors of such pledge, gift or transfer and such shares shall at all times remain subject to the terms and restrictions set forth in the right of first refusal and co-sale agreement and such transferee shall, as a condition to such issuance, deliver a counterpart signature page to the right of first refusal and co-sale agreement as confirmation that such transferee shall be bound by all the terms and conditions of the right of first refusal and co-sale agreement as an investor (but only with respect to the securities so transferred to the transferee).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these rights shall not apply to the sale of any shares to the public in an offering pursuant to an effective registration statement under the Securities Act or pursuant to a deemed liquidation event (as defined in our certificate of incorporation). Further, this agreement shall terminate upon the consummation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 for Common Member Units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Since inception, the Company has granted warrants to purchase Common Member Units at various dates. At March 31, 2021, the Company had the following warrants outstanding to acquire Common Member Units: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6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2300" w:type="dxa"/>
            <w:vAlign w:val="bottom"/>
            <w:gridSpan w:val="2"/>
          </w:tcPr>
          <w:p>
            <w:pPr>
              <w:ind w:left="600"/>
              <w:spacing w:after="0"/>
              <w:rPr>
                <w:sz w:val="20"/>
                <w:szCs w:val="20"/>
                <w:color w:val="auto"/>
              </w:rPr>
            </w:pPr>
            <w:r>
              <w:rPr>
                <w:rFonts w:ascii="Arial" w:cs="Arial" w:eastAsia="Arial" w:hAnsi="Arial"/>
                <w:sz w:val="14"/>
                <w:szCs w:val="14"/>
                <w:b w:val="1"/>
                <w:bCs w:val="1"/>
                <w:color w:val="auto"/>
              </w:rPr>
              <w:t>Expiration dates</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in 2016 and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2036 to December 2037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Issued in 2018 and 2019</w:t>
            </w:r>
          </w:p>
        </w:tc>
        <w:tc>
          <w:tcPr>
            <w:tcW w:w="780" w:type="dxa"/>
            <w:vAlign w:val="bottom"/>
          </w:tcPr>
          <w:p>
            <w:pPr>
              <w:jc w:val="right"/>
              <w:spacing w:after="0"/>
              <w:rPr>
                <w:sz w:val="20"/>
                <w:szCs w:val="20"/>
                <w:color w:val="auto"/>
              </w:rPr>
            </w:pPr>
            <w:r>
              <w:rPr>
                <w:rFonts w:ascii="Arial" w:cs="Arial" w:eastAsia="Arial" w:hAnsi="Arial"/>
                <w:sz w:val="18"/>
                <w:szCs w:val="18"/>
                <w:color w:val="auto"/>
              </w:rPr>
              <w:t>87,716</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600" w:type="dxa"/>
            <w:vAlign w:val="bottom"/>
          </w:tcPr>
          <w:p>
            <w:pPr>
              <w:spacing w:after="0"/>
              <w:rPr>
                <w:sz w:val="18"/>
                <w:szCs w:val="18"/>
                <w:color w:val="auto"/>
              </w:rPr>
            </w:pPr>
          </w:p>
        </w:tc>
        <w:tc>
          <w:tcPr>
            <w:tcW w:w="23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March 2038 to October 2039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Issued in 2019 to Related Party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6"/>
              </w:rPr>
              <w:t>April 2039</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Issued as part of Series A to Related Party in</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2020</w:t>
            </w:r>
          </w:p>
        </w:tc>
        <w:tc>
          <w:tcPr>
            <w:tcW w:w="780" w:type="dxa"/>
            <w:vAlign w:val="bottom"/>
          </w:tcPr>
          <w:p>
            <w:pPr>
              <w:jc w:val="right"/>
              <w:spacing w:after="0"/>
              <w:rPr>
                <w:sz w:val="20"/>
                <w:szCs w:val="20"/>
                <w:color w:val="auto"/>
              </w:rPr>
            </w:pPr>
            <w:r>
              <w:rPr>
                <w:rFonts w:ascii="Arial" w:cs="Arial" w:eastAsia="Arial" w:hAnsi="Arial"/>
                <w:sz w:val="18"/>
                <w:szCs w:val="18"/>
                <w:color w:val="auto"/>
              </w:rPr>
              <w:t>52,680</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600" w:type="dxa"/>
            <w:vAlign w:val="bottom"/>
          </w:tcPr>
          <w:p>
            <w:pPr>
              <w:spacing w:after="0"/>
              <w:rPr>
                <w:sz w:val="20"/>
                <w:szCs w:val="20"/>
                <w:color w:val="auto"/>
              </w:rPr>
            </w:pPr>
          </w:p>
        </w:tc>
        <w:tc>
          <w:tcPr>
            <w:tcW w:w="230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December 2025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Issued as part of the Series A in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128,368</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February to March 2026</w:t>
            </w:r>
          </w:p>
        </w:tc>
      </w:tr>
      <w:tr>
        <w:trPr>
          <w:trHeight w:val="224"/>
        </w:trPr>
        <w:tc>
          <w:tcPr>
            <w:tcW w:w="4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288,476</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the date of this prospectus, there are options to purchase 436,437 of our shares of common stock outstanding under the 2021 Incentive Plan with a weighted average exercise price of $2.69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will be American Stock Transfer &amp; Trust Company, LLC.</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9" w:right="5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Upon completion of this offering, we will have 6,876,716 shares of common stock issued and outstanding assuming no exercise by the underwriter of its over-allotment option. All of the shares sold in this offering will be freely transferable without restriction under the Securities Act unless purchased by one of our affiliates as that term is defined in Rule 144 under the Securities Act, which generally includes directors, executive officers and 10% stockholders. Sales of substantial amounts of our shares in the public market could adversely affect prevailing market prices of our shares.</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All outstanding shares prior to this offering are “restricted securities” as that term is defined in Rule 144 and may be sold only if they are sold pursuant to an effective registration statement under the Securities Act or an exemption from the registration requirements of the Securities Act such as those provided in Rules 144 and 701 promulgated under the Securities Act, which rules are summarized below. Restricted shares may also be sold outside of the United States in accordance with Regulation S under the Securities Act. This prospectus may not be used in connection with any resale of our shares acquired in this offering by our affiliates.</w:t>
      </w:r>
    </w:p>
    <w:p>
      <w:pPr>
        <w:spacing w:after="0" w:line="188"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shares of our common stock outstanding as of December 31, 2020, the remaining shares of our common stock will generally become available for sale in the public market as follows:</w:t>
      </w:r>
    </w:p>
    <w:p>
      <w:pPr>
        <w:sectPr>
          <w:pgSz w:w="11900" w:h="16838" w:orient="portrait"/>
          <w:cols w:equalWidth="0" w:num="1">
            <w:col w:w="11120"/>
          </w:cols>
          <w:pgMar w:left="320" w:top="459" w:right="459" w:bottom="1440" w:gutter="0" w:footer="0" w:header="0"/>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Approximate Number of 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Date Available for Sale on the Public Markets</w:t>
      </w:r>
    </w:p>
    <w:p>
      <w:pPr>
        <w:spacing w:after="0" w:line="37" w:lineRule="exact"/>
        <w:rPr>
          <w:sz w:val="20"/>
          <w:szCs w:val="20"/>
          <w:color w:val="auto"/>
        </w:rPr>
      </w:pPr>
    </w:p>
    <w:p>
      <w:pPr>
        <w:sectPr>
          <w:pgSz w:w="11900" w:h="16838" w:orient="portrait"/>
          <w:cols w:equalWidth="0" w:num="2">
            <w:col w:w="6260" w:space="720"/>
            <w:col w:w="41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5,376,716 shares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7"/>
          <w:szCs w:val="17"/>
          <w:color w:val="auto"/>
        </w:rPr>
        <w:t>366 days after the date of this prospectus, in the case of our officers and directors, and 181 days after the date of this prospectus, in the case of our stockholders, upon expiration of the lock-up agreements referred to below, subject in some cases to applicable volume, manner of sale and other limitations under Rule 144 and Rule 701.</w:t>
      </w:r>
    </w:p>
    <w:p>
      <w:pPr>
        <w:spacing w:after="0" w:line="183"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We may issue shares of common stock from time to time as consideration for future acquisitions, investments or other corporate purposes.</w:t>
      </w:r>
    </w:p>
    <w:p>
      <w:pPr>
        <w:spacing w:after="0" w:line="23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 In addition, the shares of common stock reserved for future issuance under our 2021 Incentive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general, under Rule 144 of the Securities Act, a person or entity that has beneficially owned our common stock for at least six months and is not our “affiliate” will be entitled to sell our common stock, subject only to the availability of current public information about us, and will be entitled to sell shares held for at least one year without any restriction. A person or entity that is our “affiliate” and has beneficially owned our common stock for at least six months will be able to sell, within a rolling three month period, the number of shares that does not exceed the greater of the following:</w:t>
      </w:r>
    </w:p>
    <w:p>
      <w:pPr>
        <w:spacing w:after="0" w:line="63" w:lineRule="exact"/>
        <w:rPr>
          <w:sz w:val="20"/>
          <w:szCs w:val="20"/>
          <w:color w:val="auto"/>
        </w:rPr>
      </w:pPr>
    </w:p>
    <w:p>
      <w:pPr>
        <w:ind w:left="1080" w:right="140" w:hanging="532"/>
        <w:spacing w:after="0" w:line="308"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1% of the then outstanding common stock, which immediately after this offering will equal approximately 68,767 shares if the maximum number of shares being offered by us are sold and all shares of preferred are converted to common stock; and</w:t>
      </w:r>
    </w:p>
    <w:p>
      <w:pPr>
        <w:spacing w:after="0" w:line="51" w:lineRule="exact"/>
        <w:rPr>
          <w:rFonts w:ascii="Arial" w:cs="Arial" w:eastAsia="Arial" w:hAnsi="Arial"/>
          <w:sz w:val="17"/>
          <w:szCs w:val="17"/>
          <w:color w:val="auto"/>
        </w:rPr>
      </w:pPr>
    </w:p>
    <w:p>
      <w:pPr>
        <w:ind w:left="1080" w:right="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Nasdaq during the four calendar weeks preceding the date on which notice of the sale is filed with the SEC.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Sales by affiliates under Rule 144 must be made through unsolicited brokers’ transactions. They are also subject to manner of sale provisions, notice requirements and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general, under Rule 701 of the Securities Act as currently in effect, each of our employees, directors or consultants who purchases our common stock from us pursuant to a compensatory stock or option plan or other written agreement relating to compensation is eligible to resell such common stock 90 days after we become a reporting company under the Exchange Act in reliance on Rule 144, but without compliance with some of the restrictions, such as the holding period, contained in Rule 144. However, the Rule 701 shares would remain subject to lock-up arrangements and would only become eligible for sale when the lock-up period expires.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along with our directors, executive officers and substantially all of our other stockholders, have agreed with the underwriter that for the period from the date of the lock-up agreement continuing through 365 days from the date of this prospectus, in the case of our executive officers and directors, and 180 days from the date of this prospectus, in the case of our stockholders and us, will not sell, offer to sell, contract to sell or lend, effect any short sale or establish or increase any put equivalent position or liquidate or decrease any call equivalent position, pledge, hypothecate, grant any security interest in or in any other way transfer or dispose of, directly or indirectly, any shares of our common stock or any securities convertible into or exchangeable for shares of common stock, or enter into any swap or other arrangement that transfers to another, in whole or in part, any of the economic consequences of ownership of the common stock.</w:t>
      </w:r>
    </w:p>
    <w:p>
      <w:pPr>
        <w:spacing w:after="0" w:line="19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We intend to file with the SEC a registration statement on Form S-8 under the Securities Act covering the shares of common stock reserved for issuance under our 2021 Incentive Plan. The registration statement is expected to be filed and become effective as soon as practicable after the completion of this offering. Accordingly, shares registered under the registration statement will be available for sale in the open market following its effective date, subject to vesting restrictions, Rule 144 volume limitations and the lock-up agreements described above, if applicable.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COMPANY’S COMMON STOCK</w:t>
      </w:r>
    </w:p>
    <w:p>
      <w:pPr>
        <w:spacing w:after="0" w:line="21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purchase, ownership and disposition of the Company’s common stock issued pursuant to this offering, but does not purport to be a complete analysis of all the potential tax considerations relating thereto. This summary is based upon the provisions of the Internal Revenue Code of 1986, as amended, or the Internal Revenue Code, Treasury regulations promulgated thereunder, published administrative rulings and judicial decisions, all as of the date hereof. These authorities may be changed or be subject to differing interpretations, possibly retroactively, so as to result in U.S. federal income tax consequences different from those set forth below. No ruling on the U.S. federal, state, local or other tax considerations relevant to the Company’s operations or to the purchase, ownership or disposition of its shares, has been requested from the U.S. Internal Revenue Service, or the IRS, or other tax authority. No assurance can be given that the IRS would not assert, or that a court would not sustain, a position contrary to any of the tax consequences described below.</w:t>
      </w:r>
    </w:p>
    <w:p>
      <w:pPr>
        <w:spacing w:after="0" w:line="18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This summary also does not address the tax considerations arising under any U.S. federal tax laws other than income tax laws, the laws of any non-U.S., state or local jurisdiction, or under U.S. federal gift and estate tax laws. In addition, this summary does not address U.S. federal income tax considerations applicable to a non-U.S. holder’s particular circumstances or to non-U.S. holders that may be subject to special tax rules, including, without limitation:</w:t>
      </w:r>
    </w:p>
    <w:p>
      <w:pPr>
        <w:spacing w:after="0" w:line="92"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Medicare contribution tax on net investment income;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the Company’s capital stock (except to the extent specifically set forth below);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partnerships or entities classified as partnerships for U.S. federal income tax purposes or other pass-through entities (and investors therein);</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who hold the Company’s common stock as a position in a hedging transaction, “straddle,” “conversion transaction” or other risk reduction transaction or integrated investment;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Internal Revenue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common stock being taken into account in an applicable financial statement;</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who hold or receive the Company’s common stock pursuant to the exercise of any employee stock option or otherwise as compensation;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who do not hold the Company’s common stock as a capital asset within the meaning of Section 1221 of the Internal Revenue Code;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deemed to sell the Company’s common stock under the constructive sale provisions of the Internal Revenue Code.</w:t>
      </w:r>
    </w:p>
    <w:p>
      <w:pPr>
        <w:spacing w:after="0" w:line="22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In addition, if a partnership or entity classified as a partnership for U.S. federal income tax purposes holds the Company’s common stock, the tax treatment of a partner generally will depend on the status of the partner, the activities of the partnership, and certain determinations made at the partner level. Accordingly, partnerships that hold the Company’s common stock, and partners in such partnerships, should consult their tax advisors.</w:t>
      </w:r>
    </w:p>
    <w:p>
      <w:pPr>
        <w:spacing w:after="0" w:line="145"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You are urged to consult your tax advisor with respect to the application of the U.S. federal income tax laws to your particular situation, as well as any tax consequences of the purchase, ownership and disposition of the Company’s common stock arising under the U.S. federal estate or gift tax rules or under the laws of any state, local, non-U.S., or other taxing jurisdiction or under any applicable tax treaty.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Non-U.S. Holder Defined For purposes of this discussion, you are a non-U.S. holder (other than a partnership) if you are a beneficial owner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common stock other than:</w:t>
      </w:r>
    </w:p>
    <w:p>
      <w:pPr>
        <w:spacing w:after="0" w:line="116"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 (for U.S. federal income tax purposes);</w:t>
      </w:r>
    </w:p>
    <w:p>
      <w:pPr>
        <w:spacing w:after="0" w:line="13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any state thereof, or the District of Columbia, or other entity treated as such for U.S. federal income tax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80" w:right="20" w:hanging="424"/>
        <w:spacing w:after="0" w:line="29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(within the meaning of Section 7701(a)(30) of the Internal Revenue Code) who have the authority to control all substantial decisions of the trust or</w:t>
      </w:r>
    </w:p>
    <w:p>
      <w:pPr>
        <w:ind w:left="1080"/>
        <w:spacing w:after="0"/>
        <w:rPr>
          <w:rFonts w:ascii="Arial" w:cs="Arial" w:eastAsia="Arial" w:hAnsi="Arial"/>
          <w:sz w:val="16"/>
          <w:szCs w:val="16"/>
          <w:color w:val="auto"/>
        </w:rPr>
      </w:pPr>
      <w:r>
        <w:rPr>
          <w:rFonts w:ascii="Arial" w:cs="Arial" w:eastAsia="Arial" w:hAnsi="Arial"/>
          <w:sz w:val="18"/>
          <w:szCs w:val="18"/>
          <w:color w:val="auto"/>
        </w:rPr>
        <w:t>(y) which has made a valid election to be treated as a U.S. person for U.S. federal income tax purposes.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described in the section entitled “Dividend Policy,” the Company has never declared or paid cash dividends on its common stock and does not anticipate paying any dividends on its common stock in the foreseeable future. However, if the Company does make distributions of cash or property on its common stock, those payments will constitute dividends for U.S. tax purposes to the extent paid from the Company’s current or accumulated earnings and profits, as determined under U.S. federal income tax principles. To the extent those distributions exceed both the Company’s current and its accumulated earnings and profits, they will constitute a return of capital and will first reduce your basis in the Company’s common stock, but not below zero, and then will be treated as gain from the sale of stock as described below under “—Gain on the Sale or Other Taxable Disposition of Common Stock.”</w:t>
      </w:r>
    </w:p>
    <w:p>
      <w:pPr>
        <w:spacing w:after="0" w:line="195"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Subject to the discussion below on effectively connected income, backup withholding and foreign accounts, any dividend paid to you generally will be subject to U.S. withholding tax either at a rate of 30% of the gross amount of the dividend or such lower rate as may be specified by an applicable income tax treaty. In order to receive a reduced treaty rate, you must timely provide us or the applicable withholding agent with a valid IRS Form W-8BEN, IRS Form W-8BEN-E, or other appropriate version of IRS Form W-8 or applicable certifying qualification for the reduced rate. A non-U.S. holder of shares of the Company’s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the Company or its paying agent, either directly or through other intermediaries.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the withholding tax described above. In order to obtain this exemption, you must provide us or the applicable withholding agent with a valid IRS Form W-8ECI or other applicable IRS Form W-8 properly certifying such exemption. Such effectively connected dividends, although not subject to U.S. federal income withholding tax, are taxed for U.S. federal income tax purposes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on the Sale or other Taxable Disposition of Common Stock</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Subject to the discussion below regarding information reporting, backup withholding and foreign accounts, you generally will not be required to pay U.S. federal income tax on any gain realized upon the sale or other taxable disposition of the Company’s common stock unless:</w:t>
      </w:r>
    </w:p>
    <w:p>
      <w:pPr>
        <w:spacing w:after="0" w:line="52" w:lineRule="exact"/>
        <w:rPr>
          <w:sz w:val="20"/>
          <w:szCs w:val="20"/>
          <w:color w:val="auto"/>
        </w:rPr>
      </w:pPr>
    </w:p>
    <w:p>
      <w:pPr>
        <w:ind w:left="1080" w:right="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taxable year in which the sale or disposition occurs and certain other conditions are met; or</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common stock constitutes a United States real property interest, or USRPI, by reason of its status as a “United States real property holding corporation,” or USRPHC, for U.S. federal income tax purposes at any time within the shorter of (i) the five-year period preceding your sale or other taxable disposition of the Company’s common stock, or (ii) your holding period for its common stock.</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believes that it is not currently and will not become a USRPHC for U.S. federal income tax purposes, and the remainder of this discussion so assumes. However, because the determination whether the Company is a USRPHC depends on the fair market value of its USRPIs relative to the fair market value of its other business assets, there can be no assurance that the Company will not become a USRPHC in the future. Even if the Company becomes a USRPHC, however, as long as its common stock is regularly traded on an established securities market, the common stock you own will be treated as a USRPI only if you actually or constructively hold more than five percent of the Company’s outstanding common stock at any time during the shorter of (i) the five-year period preceding your disposition of the Company’s common stock, or (ii) your holding period for the stock.</w:t>
      </w:r>
    </w:p>
    <w:p>
      <w:pPr>
        <w:spacing w:after="0" w:line="164"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income tax treaty) on the gain derived from the sale or other taxable disposition, which gain may be offset by U.S. source capital losses for the year (provided you have timely filed U.S. federal income tax returns with respect to such losses). You should consult any applicable income tax or other treaties that may provide for different rules.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Generally, the Company or an applicable withholding agent must report annually to the IRS, regardless of whether any tax was withheld,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Payments of dividends or of proceeds on the sale or disposition of stock made to you may be subject to information reporting and backup withholding at a current rate of 24% unless you establish an exemption, for example, by properly certifying your non-U.S. status on a timely provided and valid IRS Form W-8BEN, IRS Form W-8BEN-E, or another appropriate version of IRS Form W-8 or applicable documentation. Proceeds of a sale or other disposition of the Company’s common stock conducted through a non-U.S. office of a non-U.S. broker generally will not be subject to backup withholding or information reporting.</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Account Tax Compliance</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Sections 1471 through 1474 of the Internal Revenue Code, known as the Foreign Account Tax Compliance Act, or FATCA, impose withholding tax at a rate of 30% on, dividends on and (subject to the proposed Treasury regulations discussed below) gross proceeds from the sale or other disposition of, the Company’s common stock paid to a “foreign financial institution”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the Company’s common stock paid to a “non-financial foreign entity” (as specially defined for purposes of these rules) unless such entity (i) provides the withholding agent with a certification identifying certain substantial direct and indirect U.S. owners of the entity, (ii) certifies that there is none or (iii) otherwise establishes an exemption. The withholding provisions under FATCA generally apply to dividends on our common stock. Although potential withholding under FATCA would also have applied also to of gross proceeds from the sale or other disposition of stock on or after January 1, 2019, recently proposed Treasury regulations eliminate FATCA withholding on payments of gross proceeds entirely. Withholding agents may rely on these proposed Treasury regulations until final Treasury regulations are issued. An intergovernmental agreement between the United States and an applicable foreign country may modify the requirements described in this paragraph. Non-U.S. holders should consult their own tax advisors regarding the possible implications of this legislation on their investment in the Company’s common stock.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320" w:top="459"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ThinkEquity, a division of Fordham Financial Management, Inc. (“ThinkEquity”), is acting as the underwriter of this offering. We have entered</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into an underwriting agreement dated , 2021 with ThinkEquity. Subject to the terms and conditions of the underwriting agreement, we have agreed to sell to each underwriter named below, and each underwriter named below has severally agreed to purchase from us, at the public offering price less the underwriting discounts set forth on the cover page of this prospectus, the number of common shares listed next to its name in the following table: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240" w:type="dxa"/>
            <w:vAlign w:val="bottom"/>
            <w:vMerge w:val="restart"/>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10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ThinkEquity, a division of Fordham Financial Management, Inc.</w:t>
            </w:r>
          </w:p>
        </w:tc>
        <w:tc>
          <w:tcPr>
            <w:tcW w:w="9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underwriter is committed to purchase all shares offered by us other than those covered by the over-allotment option described below, if any are purchased. The obligations of the underwriter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 of officers’ certificates and legal opinions.</w:t>
      </w:r>
    </w:p>
    <w:p>
      <w:pPr>
        <w:spacing w:after="0" w:line="15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underwriter is offering the shares subject to prior sale, when, as and if issued to and accepted by them, subject to approval of legal matters by their counsel, and other conditions. The underwriter reserves the right to withdraw, cancel or modify offers to the public and to reject orders in whole or in part.</w:t>
      </w:r>
    </w:p>
    <w:p>
      <w:pPr>
        <w:spacing w:after="0" w:line="184"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underwriter proposes to offer the shares offered by us to the public at the public offering price set forth on the cover of the prospectus. After the shares are released for sale to the public, the underwriter may change the offering price and other selling terms at various times.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We have granted the underwriter an over-allotment option. This option, which is exercisable for up to 45 days after the date of this prospectus, permits the representative to purchase a maximum of 225,000 additional shares of common stock (15% of the shares sold in this offering) from us to cover over-allotments, if any. If the representative exercises all or part of this option, it will purchase shares covered by the option at the public offering price per share that appears on the cover page of this prospectus, less the underwriting discount. If this option is exercised in full, the total offering price</w:t>
      </w:r>
    </w:p>
    <w:p>
      <w:pPr>
        <w:spacing w:after="0" w:line="1" w:lineRule="exact"/>
        <w:rPr>
          <w:sz w:val="20"/>
          <w:szCs w:val="20"/>
          <w:color w:val="auto"/>
        </w:rPr>
      </w:pPr>
    </w:p>
    <w:p>
      <w:pPr>
        <w:ind w:left="120"/>
        <w:spacing w:after="0"/>
        <w:tabs>
          <w:tab w:leader="none" w:pos="2220" w:val="left"/>
          <w:tab w:leader="none" w:pos="6940" w:val="left"/>
        </w:tabs>
        <w:rPr>
          <w:sz w:val="20"/>
          <w:szCs w:val="20"/>
          <w:color w:val="auto"/>
        </w:rPr>
      </w:pPr>
      <w:r>
        <w:rPr>
          <w:rFonts w:ascii="Arial" w:cs="Arial" w:eastAsia="Arial" w:hAnsi="Arial"/>
          <w:sz w:val="18"/>
          <w:szCs w:val="18"/>
          <w:color w:val="auto"/>
        </w:rPr>
        <w:t>to the public will be $</w:t>
      </w:r>
      <w:r>
        <w:rPr>
          <w:sz w:val="20"/>
          <w:szCs w:val="20"/>
          <w:color w:val="auto"/>
        </w:rPr>
        <w:tab/>
      </w:r>
      <w:r>
        <w:rPr>
          <w:rFonts w:ascii="Arial" w:cs="Arial" w:eastAsia="Arial" w:hAnsi="Arial"/>
          <w:sz w:val="18"/>
          <w:szCs w:val="18"/>
          <w:color w:val="auto"/>
        </w:rPr>
        <w:t>and the total net proceeds, before expenses, to us will be $</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Discount</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proceeds, before expenses, to us. The information assumes either no exercise or full exercise by the underwriter of its over-allotment option.</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vMerge w:val="restart"/>
          </w:tcPr>
          <w:p>
            <w:pPr>
              <w:jc w:val="center"/>
              <w:ind w:left="180"/>
              <w:spacing w:after="0"/>
              <w:rPr>
                <w:sz w:val="20"/>
                <w:szCs w:val="20"/>
                <w:color w:val="auto"/>
              </w:rPr>
            </w:pPr>
            <w:r>
              <w:rPr>
                <w:rFonts w:ascii="Arial" w:cs="Arial" w:eastAsia="Arial" w:hAnsi="Arial"/>
                <w:sz w:val="14"/>
                <w:szCs w:val="14"/>
                <w:b w:val="1"/>
                <w:bCs w:val="1"/>
                <w:color w:val="auto"/>
                <w:w w:val="97"/>
              </w:rPr>
              <w:t>Total With</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5"/>
              </w:rPr>
              <w:t>Without</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8"/>
              </w:rPr>
              <w:t>Over-</w:t>
            </w:r>
          </w:p>
        </w:tc>
        <w:tc>
          <w:tcPr>
            <w:tcW w:w="1240" w:type="dxa"/>
            <w:vAlign w:val="bottom"/>
          </w:tcPr>
          <w:p>
            <w:pPr>
              <w:jc w:val="center"/>
              <w:ind w:left="160"/>
              <w:spacing w:after="0" w:line="149" w:lineRule="exact"/>
              <w:rPr>
                <w:sz w:val="20"/>
                <w:szCs w:val="20"/>
                <w:color w:val="auto"/>
              </w:rPr>
            </w:pPr>
            <w:r>
              <w:rPr>
                <w:rFonts w:ascii="Arial" w:cs="Arial" w:eastAsia="Arial" w:hAnsi="Arial"/>
                <w:sz w:val="14"/>
                <w:szCs w:val="14"/>
                <w:b w:val="1"/>
                <w:bCs w:val="1"/>
                <w:color w:val="auto"/>
                <w:w w:val="98"/>
              </w:rPr>
              <w:t>Over-</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140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5"/>
              </w:rPr>
              <w:t>Allotment</w:t>
            </w:r>
          </w:p>
        </w:tc>
        <w:tc>
          <w:tcPr>
            <w:tcW w:w="1240" w:type="dxa"/>
            <w:vAlign w:val="bottom"/>
          </w:tcPr>
          <w:p>
            <w:pPr>
              <w:jc w:val="center"/>
              <w:ind w:left="160"/>
              <w:spacing w:after="0" w:line="149" w:lineRule="exact"/>
              <w:rPr>
                <w:sz w:val="20"/>
                <w:szCs w:val="20"/>
                <w:color w:val="auto"/>
              </w:rPr>
            </w:pPr>
            <w:r>
              <w:rPr>
                <w:rFonts w:ascii="Arial" w:cs="Arial" w:eastAsia="Arial" w:hAnsi="Arial"/>
                <w:sz w:val="14"/>
                <w:szCs w:val="14"/>
                <w:b w:val="1"/>
                <w:bCs w:val="1"/>
                <w:color w:val="auto"/>
                <w:w w:val="92"/>
              </w:rPr>
              <w:t>Allotment</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400" w:type="dxa"/>
            <w:vAlign w:val="bottom"/>
          </w:tcPr>
          <w:p>
            <w:pPr>
              <w:jc w:val="center"/>
              <w:ind w:left="41"/>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tcPr>
          <w:p>
            <w:pPr>
              <w:jc w:val="center"/>
              <w:ind w:left="1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4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Underwriting discount</w:t>
            </w:r>
          </w:p>
        </w:tc>
        <w:tc>
          <w:tcPr>
            <w:tcW w:w="3240" w:type="dxa"/>
            <w:vAlign w:val="bottom"/>
          </w:tcPr>
          <w:p>
            <w:pPr>
              <w:jc w:val="right"/>
              <w:ind w:right="91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 to us</w:t>
            </w:r>
          </w:p>
        </w:tc>
        <w:tc>
          <w:tcPr>
            <w:tcW w:w="324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380" w:type="dxa"/>
            <w:vAlign w:val="bottom"/>
          </w:tcPr>
          <w:p>
            <w:pPr>
              <w:spacing w:after="0"/>
              <w:rPr>
                <w:sz w:val="24"/>
                <w:szCs w:val="24"/>
                <w:color w:val="auto"/>
              </w:rPr>
            </w:pPr>
          </w:p>
        </w:tc>
        <w:tc>
          <w:tcPr>
            <w:tcW w:w="3240" w:type="dxa"/>
            <w:vAlign w:val="bottom"/>
          </w:tcPr>
          <w:p>
            <w:pPr>
              <w:jc w:val="right"/>
              <w:ind w:right="1774"/>
              <w:spacing w:after="0"/>
              <w:rPr>
                <w:sz w:val="20"/>
                <w:szCs w:val="20"/>
                <w:color w:val="auto"/>
              </w:rPr>
            </w:pPr>
            <w:r>
              <w:rPr>
                <w:rFonts w:ascii="Arial" w:cs="Arial" w:eastAsia="Arial" w:hAnsi="Arial"/>
                <w:sz w:val="18"/>
                <w:szCs w:val="18"/>
                <w:color w:val="auto"/>
              </w:rPr>
              <w:t>136</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have agreed to pay a non-accountable expense allowance to the underwriter equal to 1.0% of the gross proceeds received in this offering (excluding proceeds received from exercise of the underwriter’s over-allotment option).</w:t>
      </w:r>
    </w:p>
    <w:p>
      <w:pPr>
        <w:spacing w:after="0" w:line="170"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We have paid an expense deposit of $50,000 to the representative for out-of-pocket-accountable expenses, which will be returned to us to the extent such out-of-pocket accountable expenses are not actually incurred in accordance with FINRA Rule 5110(f)(2)(C).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we have agreed to reimburse the underwriter for fees and expenses of legal counsel to the underwriter in an amount not to exceed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$125,000, fees and expenses related to the use of book building, prospectus tracking and compliance software for the offering in the amount of $29,500,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 to $15,000 for background checks of our officers and directors, $10,000 for data services and communications expenses, $3,000 for the costs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associated with bound volumes of the public offering materials as well as commemorative mementos and lucite tombstones, and the out-of-pocket fees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expenses of the representative for marketing, roadshows and clearing firm settlement for the offering not to exceed $30,000.</w:t>
      </w:r>
    </w:p>
    <w:p>
      <w:pPr>
        <w:spacing w:after="0" w:line="21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estimate that the total expenses of the offering payable by us, excluding the total underwriting discount and non-accountable expense allowance, will be approximately $2.1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Warrant</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have agreed to issue to the representative warrants to purchase up to a total of shares of our common stock (5% of the aggregate number of shares of common stock sold in this offering, excluding shares of common stock sold upon exercise of the underwriter’s over-allotment option) (the “Underwriting Warrant”). The Underwriting Warrant will be exercisable at a per share exercise price equal to 125% of the public offering price per share of the shares of common stock sold in this offering. The Underwriting Warrant is exercisable at any time, from time to time, in whole or in part, during the four and one half year period commencing six months from the effective date of the registration statement related to this offering.</w:t>
      </w:r>
    </w:p>
    <w:p>
      <w:pPr>
        <w:spacing w:after="0" w:line="16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Underwriting Warrant and the shares of common stock underlying the Underwriting Warrant have been deemed compensation by FINRA and are, therefore, subject to a 180-day lock-up pursuant to FINRA Rule 5110(g)(1). The Representative or permitted assignees under such rule may not sell, transfer, assign, pledge, or hypothecate the Underwriting Warrant or the securities underlying the Underwriting Warrant, nor will the representative engage in any hedging, short sale, derivative, put, or call transaction that would result in the effective economic disposition of the Underwriting Warrant or the underlying shares of common stock for a period of 180 days from the effective date of the registration statement. Additionally, the Underwriting Warrant may not be sold, transferred, assigned, pledged, or hypothecated for a 180-day period following the effective date of the registration statement, except to any underwriter and selected dealer participating in the offering and their bona fide officers or partners. The Underwriting Warrant will provide for adjustment in the number and price of the Underwriting Warrant and the shares of common stock underlying the Underwriting Warrants in the event of recapitalization, merger, stock split, or other structural transaction, or a future financing undertaken by us.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Underwriting Warrant will provide for registration rights, including a demand registration right and unlimited piggyback registration rights.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Discretionary Accounts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 does not intend to confirm sales of the securities offered hereby to any accounts over which they have discretionary authority.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Pursuant to certain “lock-up” agreements, we, our executive officers and directors and substantially all of our stockholders, have agreed not to, without the prior written consent of the representative, offer, sell, assign, transfer, pledge, contract to sell, or otherwise dispose of or announce the intention to otherwise dispose of,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for a period of 365 days from the date of this prospectus, in the case of our directors and officers, and 180 days from the date of this prospectus, in the case of our stockholders and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Subject to certain limited exceptions, until 24 months after the closing of this initial public offering, ThinkEquity has a right of first refusal to act as sole investment banker, sole book-runner and/or sole placement agent, at ThinkEquity’s sole discretion, for each and every future public and private equity and debt offering, including all equity-linked offerings, by us or any of our successors or subsidiaries during such 24-month period on terms customary to the representative.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and to contribute to payments that the underwriter may be required to make for these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 or selling group members, if any, participating in this offering and the underwriter participating in this offering may distribute prospectuses electronically. The underwriter may agree to allocate a number of shares to the underwriter and selling group members for sale to their online brokerage account holders. Internet distributions will be allocated by the underwriter and selling group members that will make internet distributions on the same basis as other allocations. Other than the prospectus in electronic format, the information on the underwriter’s website is not part of, nor incorporated by reference into, this prospectus or the registration statement of which this prospectus forms a part, has not been approved or endorsed by us or any underwriter in its capacity as underwriter, and should not be relied upon by investors.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connection with this offering, the underwriter may engage in stabilizing transactions, over-allotment transactions, syndicate-covering transactions, penalty bids and purchases to cover positions created by short sales.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Stabilizing transactions permit bids to purchase securities so long as the stabilizing bids do not exceed a specified maximum, and are engaged in for the purpose of preventing or retarding a decline in the market price of the securities while the offering is in progress.</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Over-allotment transactions involve sales by the underwriter of securities in excess of the number of securities that underwriter are obligated to purchase. This creates a syndicate short position which may be either a covered short position or a naked short position. In a covered short position, the number of securities over-allotted by the underwriter is not greater than the number of securities that it may purchase in the over-allotment option. In a naked short position, the number of securities involved is greater than the number of securities in the over-allotment option. The underwriter may close out any short position by exercising its over-allotment option and/or purchasing securities in the open market.</w:t>
      </w:r>
    </w:p>
    <w:p>
      <w:pPr>
        <w:spacing w:after="0" w:line="16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Syndicate covering transactions involve purchases of securities in the open market after the distribution has been completed in order to cover syndicate short positions. In determining the source of securities to close out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short position, the underwriter will consider, among other things, the price of securities available for purchase in the open market as compared with the price at which they may purchase securities through exercise of the over-allotment option. If the underwriter sells more securities than could be covered by exercise of the over-allotment option and, therefore, have a naked short position, the position can be closed out only by buying securities in the open market. A naked short position is more likely to be created if the underwriter is concerned that after pricing there could be downward pressure on the price of the securities in the open market that could adversely affect investors who purchase in the offering.</w:t>
      </w:r>
    </w:p>
    <w:p>
      <w:pPr>
        <w:spacing w:after="0" w:line="161"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Penalty bids permit the representative to reclaim a selling concession from a syndicate member when the securities originally sold by that syndicate member are purchased in stabilizing or syndicate covering transactions to cover syndicate short positions.</w:t>
      </w:r>
    </w:p>
    <w:p>
      <w:pPr>
        <w:spacing w:after="0" w:line="14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securities or preventing or retarding a decline in the market price of our securities. As a result, the price of our securities in the open market may be higher than it would otherwise be in the absence of these transactions. Neither we nor the underwriter make any representation or prediction as to the effect that the transactions described above may have on the price of our securities. These transactions may be effected on Nasdaq, in the over-the-counter market or otherwise and, if commenced, may be discontinued at any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this offering, the underwriter and selling group members may engage in passive market making transactions in our common stock on Nasdaq or on the OTCQB in accordance with Rule 103 of Regulation M under the Exchange Act, during a period before the commencement of offers or sales of the securities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underwriter and its affiliates may provide in the future, various advisory, investment and commercial banking and other services to us in the ordinary course of business, for which they may receive customary fees and commissions. However, we have not yet had, and have no present arrangements with the underwriter for any further services.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This prospectus is not a disclosure document under Chapter 6D of the Australian Corporations Act, has not been lodged with the Australian Securities and Investments Commission and does not purport to include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China</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Area—Belgium, Germany, Luxembourg and Netherlands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information in this document has been prepared on the basis that all offers of securities will be made pursuant to an exemption under the Directive 2003/71/EC (“Prospectus Directive”), as implemented in Member States of the European Economic Area (each, a “Relevant Member State”), from the requirement to produce a prospectus for offers of securities.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76" w:lineRule="exact"/>
        <w:rPr>
          <w:sz w:val="20"/>
          <w:szCs w:val="20"/>
          <w:color w:val="auto"/>
        </w:rPr>
      </w:pPr>
    </w:p>
    <w:p>
      <w:pPr>
        <w:ind w:left="1080" w:right="26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70"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within the meaning of Article 2(1)(e) of the Prospectus Directive) subject to obtaining the prior consent of the Company or any underwriter for any such offer; or</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securities shall result in a requirement for the publication by the Company of a prospectus pursuant to Article 3 of the Prospectus Directive.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Such offers, sales and distributions have been and shall only be made in France to (i) qualified investors (investisseurs qualifiés) acting for their own account, as defined in and in accordance with Articles L.411-2-II-2° and D.411-1 to D.411-3, D.744-1,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Ireland</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offering of the securities in the Republic of Italy has not been authorized by the Italian Securities and Exchange Commission (Commissione Nazionale per le Societ-$$-Aga e la Borsa,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(“Decree No. 58”), other than:</w:t>
      </w:r>
    </w:p>
    <w:p>
      <w:pPr>
        <w:spacing w:after="0" w:line="92" w:lineRule="exact"/>
        <w:rPr>
          <w:sz w:val="20"/>
          <w:szCs w:val="20"/>
          <w:color w:val="auto"/>
        </w:rPr>
      </w:pPr>
    </w:p>
    <w:p>
      <w:pPr>
        <w:ind w:left="1080" w:right="4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Italian qualified investors, as defined in Article 100 of Decree no.58 by reference to Article 34-ter of CONSOB Regulation no. 11971 of 14 May 1999 (“Regulation no. 1197l”) as amended (“Qualified Investors”);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other circumstances that are exempt from the rules on public offer pursuant to Article 100 of Decree No. 58 and Article 34-ter of Regulation No. 11971 as amended.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offer, sale or delivery of the securities or distribution of any offer document relating to the securities in Italy (excluding placements where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Qualified Investor solicits an offer from the issuer) under the paragraphs above must be:</w:t>
      </w:r>
    </w:p>
    <w:p>
      <w:pPr>
        <w:spacing w:after="0" w:line="116" w:lineRule="exact"/>
        <w:rPr>
          <w:sz w:val="20"/>
          <w:szCs w:val="20"/>
          <w:color w:val="auto"/>
        </w:rPr>
      </w:pPr>
    </w:p>
    <w:p>
      <w:pPr>
        <w:jc w:val="both"/>
        <w:ind w:left="1080" w:right="28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compliance with all relevant Italian securities, tax and exchange controls and any other applicable laws.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w:t>
      </w:r>
    </w:p>
    <w:p>
      <w:pPr>
        <w:spacing w:after="0" w:line="2" w:lineRule="exact"/>
        <w:rPr>
          <w:sz w:val="20"/>
          <w:szCs w:val="20"/>
          <w:color w:val="auto"/>
        </w:rPr>
      </w:pPr>
    </w:p>
    <w:p>
      <w:pPr>
        <w:ind w:left="120" w:right="300"/>
        <w:spacing w:after="0" w:line="302" w:lineRule="auto"/>
        <w:rPr>
          <w:sz w:val="20"/>
          <w:szCs w:val="20"/>
          <w:color w:val="auto"/>
        </w:rPr>
      </w:pPr>
      <w:r>
        <w:rPr>
          <w:rFonts w:ascii="Arial" w:cs="Arial" w:eastAsia="Arial" w:hAnsi="Arial"/>
          <w:sz w:val="16"/>
          <w:szCs w:val="16"/>
          <w:color w:val="auto"/>
        </w:rPr>
        <w:t>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Portugal</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(Comissao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Sweden</w:t>
      </w:r>
    </w:p>
    <w:p>
      <w:pPr>
        <w:spacing w:after="0" w:line="12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Arab Emirates</w:t>
      </w:r>
    </w:p>
    <w:p>
      <w:pPr>
        <w:spacing w:after="0" w:line="12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and Article 2 of the UK Prospectus Regulation)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 The expression “UK Prospectus Regulation” means Regulation (EU) 2017/1129 as it forms part of domestic law, and solely to the extent that it forms part of domestic law, by virtue of the European Union (Withdrawal) Act 2018.</w:t>
      </w:r>
    </w:p>
    <w:p>
      <w:pPr>
        <w:spacing w:after="0" w:line="18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 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 is not required to comply with the disclosure requirements of NI33-105 regarding underwriter conflicts of interest in connection with this offering.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validity of the shares of our common stock offered hereby will be passed upon for us by Faegre Drinker Biddle &amp; Reath LLP. Venable, LLP, New York, New York has acted as counsel for the underwriter in connection with certain legal matters related to this offering.</w:t>
      </w: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financial statements included in this prospectus have been audited by CohnReznick LLP, an independent registered public accounting firm, as stated in their report, which includes an explanatory paragraph relating to our ability to continue as a going concern, appearing herein. Such financial statements are included in reliance upon the report of such firm given upon their authority as experts in accounting and auditing.</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8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over the internet at the website of the SEC referred to above. We also maintain a website at </w:t>
      </w:r>
      <w:r>
        <w:rPr>
          <w:rFonts w:ascii="Arial" w:cs="Arial" w:eastAsia="Arial" w:hAnsi="Arial"/>
          <w:sz w:val="18"/>
          <w:szCs w:val="18"/>
          <w:i w:val="1"/>
          <w:iCs w:val="1"/>
          <w:color w:val="auto"/>
        </w:rPr>
        <w:t>www.contexttherapeutics.com</w:t>
      </w:r>
      <w:r>
        <w:rPr>
          <w:rFonts w:ascii="Arial" w:cs="Arial" w:eastAsia="Arial" w:hAnsi="Arial"/>
          <w:sz w:val="18"/>
          <w:szCs w:val="18"/>
          <w:color w:val="auto"/>
        </w:rPr>
        <w:t>.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04"/>
        </w:trPr>
        <w:tc>
          <w:tcPr>
            <w:tcW w:w="10560" w:type="dxa"/>
            <w:vAlign w:val="bottom"/>
            <w:gridSpan w:val="15"/>
          </w:tcPr>
          <w:p>
            <w:pPr>
              <w:spacing w:after="0"/>
              <w:rPr>
                <w:sz w:val="20"/>
                <w:szCs w:val="20"/>
                <w:color w:val="auto"/>
              </w:rPr>
            </w:pPr>
            <w:r>
              <w:rPr>
                <w:rFonts w:ascii="Arial" w:cs="Arial" w:eastAsia="Arial" w:hAnsi="Arial"/>
                <w:sz w:val="18"/>
                <w:szCs w:val="18"/>
                <w:color w:val="auto"/>
              </w:rPr>
              <w:t>Audited Consolidated Financial Statements as of and for the Years Ended December 31, 2019 and 2020:</w:t>
            </w:r>
          </w:p>
        </w:tc>
        <w:tc>
          <w:tcPr>
            <w:tcW w:w="400" w:type="dxa"/>
            <w:vAlign w:val="bottom"/>
          </w:tcPr>
          <w:p>
            <w:pPr>
              <w:spacing w:after="0"/>
              <w:rPr>
                <w:sz w:val="24"/>
                <w:szCs w:val="24"/>
                <w:color w:val="auto"/>
              </w:rPr>
            </w:pPr>
          </w:p>
        </w:tc>
      </w:tr>
      <w:tr>
        <w:trPr>
          <w:trHeight w:val="283"/>
        </w:trPr>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53">
              <w:r>
                <w:rPr>
                  <w:rFonts w:ascii="Arial" w:cs="Arial" w:eastAsia="Arial" w:hAnsi="Arial"/>
                  <w:sz w:val="18"/>
                  <w:szCs w:val="18"/>
                  <w:color w:val="0000EE"/>
                  <w:w w:val="91"/>
                </w:rPr>
                <w:t>Report of Independent Registered Public Accounting Firm</w:t>
              </w:r>
            </w:hyperlink>
          </w:p>
        </w:tc>
        <w:tc>
          <w:tcPr>
            <w:tcW w:w="634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560" w:type="dxa"/>
            <w:vAlign w:val="bottom"/>
            <w:gridSpan w:val="15"/>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Balance Sheets as of December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1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15"/>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Operations for the years ended December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15"/>
          </w:tcPr>
          <w:p>
            <w:pPr>
              <w:spacing w:after="0"/>
              <w:rPr>
                <w:rFonts w:ascii="Arial" w:cs="Arial" w:eastAsia="Arial" w:hAnsi="Arial"/>
                <w:sz w:val="18"/>
                <w:szCs w:val="18"/>
                <w:color w:val="0000EE"/>
                <w:w w:val="93"/>
              </w:rPr>
            </w:pPr>
            <w:hyperlink w:anchor="page156">
              <w:r>
                <w:rPr>
                  <w:rFonts w:ascii="Arial" w:cs="Arial" w:eastAsia="Arial" w:hAnsi="Arial"/>
                  <w:sz w:val="18"/>
                  <w:szCs w:val="18"/>
                  <w:color w:val="0000EE"/>
                  <w:w w:val="93"/>
                </w:rPr>
                <w:t>Consolidated Statements of Changes in Convertible Preferred Units, Redeemable Common Member Units and Members’ Deficit for the years</w:t>
              </w:r>
            </w:hyperlink>
          </w:p>
        </w:tc>
        <w:tc>
          <w:tcPr>
            <w:tcW w:w="40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56">
              <w:r>
                <w:rPr>
                  <w:rFonts w:ascii="Arial" w:cs="Arial" w:eastAsia="Arial" w:hAnsi="Arial"/>
                  <w:sz w:val="18"/>
                  <w:szCs w:val="18"/>
                  <w:color w:val="0000EE"/>
                  <w:w w:val="87"/>
                </w:rPr>
                <w:t>ended December 31, 2019 and 2020</w:t>
              </w:r>
            </w:hyperlink>
          </w:p>
        </w:tc>
        <w:tc>
          <w:tcPr>
            <w:tcW w:w="7440" w:type="dxa"/>
            <w:vAlign w:val="bottom"/>
            <w:tcBorders>
              <w:top w:val="single" w:sz="8" w:color="0000EE"/>
            </w:tcBorders>
            <w:gridSpan w:val="11"/>
          </w:tcPr>
          <w:p>
            <w:pPr>
              <w:spacing w:after="0"/>
              <w:rPr>
                <w:sz w:val="17"/>
                <w:szCs w:val="17"/>
                <w:color w:val="auto"/>
              </w:rPr>
            </w:pPr>
          </w:p>
        </w:tc>
        <w:tc>
          <w:tcPr>
            <w:tcW w:w="3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304"/>
        </w:trPr>
        <w:tc>
          <w:tcPr>
            <w:tcW w:w="65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57">
              <w:r>
                <w:rPr>
                  <w:rFonts w:ascii="Arial" w:cs="Arial" w:eastAsia="Arial" w:hAnsi="Arial"/>
                  <w:sz w:val="18"/>
                  <w:szCs w:val="18"/>
                  <w:color w:val="0000EE"/>
                  <w:w w:val="89"/>
                </w:rPr>
                <w:t>Consolidated Statements of Cash Flows for the years ended December 31, 2019 and 2020</w:t>
              </w:r>
            </w:hyperlink>
          </w:p>
        </w:tc>
        <w:tc>
          <w:tcPr>
            <w:tcW w:w="40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10560" w:type="dxa"/>
            <w:vAlign w:val="bottom"/>
            <w:gridSpan w:val="15"/>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85"/>
        </w:trPr>
        <w:tc>
          <w:tcPr>
            <w:tcW w:w="18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04"/>
        </w:trPr>
        <w:tc>
          <w:tcPr>
            <w:tcW w:w="10560" w:type="dxa"/>
            <w:vAlign w:val="bottom"/>
            <w:gridSpan w:val="15"/>
          </w:tcPr>
          <w:p>
            <w:pPr>
              <w:spacing w:after="0"/>
              <w:rPr>
                <w:sz w:val="20"/>
                <w:szCs w:val="20"/>
                <w:color w:val="auto"/>
              </w:rPr>
            </w:pPr>
            <w:r>
              <w:rPr>
                <w:rFonts w:ascii="Arial" w:cs="Arial" w:eastAsia="Arial" w:hAnsi="Arial"/>
                <w:sz w:val="18"/>
                <w:szCs w:val="18"/>
                <w:color w:val="auto"/>
                <w:w w:val="94"/>
              </w:rPr>
              <w:t>Unaudited Condensed Consolidated Financial Statements as of March 31, 2021 and for the Three Months Ended March 31, 2020 and 2021:</w:t>
            </w:r>
          </w:p>
        </w:tc>
        <w:tc>
          <w:tcPr>
            <w:tcW w:w="400" w:type="dxa"/>
            <w:vAlign w:val="bottom"/>
          </w:tcPr>
          <w:p>
            <w:pPr>
              <w:spacing w:after="0"/>
              <w:rPr>
                <w:sz w:val="24"/>
                <w:szCs w:val="24"/>
                <w:color w:val="auto"/>
              </w:rPr>
            </w:pPr>
          </w:p>
        </w:tc>
      </w:tr>
      <w:tr>
        <w:trPr>
          <w:trHeight w:val="283"/>
        </w:trPr>
        <w:tc>
          <w:tcPr>
            <w:tcW w:w="62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76">
              <w:r>
                <w:rPr>
                  <w:rFonts w:ascii="Arial" w:cs="Arial" w:eastAsia="Arial" w:hAnsi="Arial"/>
                  <w:sz w:val="18"/>
                  <w:szCs w:val="18"/>
                  <w:color w:val="0000EE"/>
                  <w:w w:val="88"/>
                </w:rPr>
                <w:t>Condensed Consolidated Balance Sheets as of December 31, 2020 and March 31, 2021</w:t>
              </w:r>
            </w:hyperlink>
          </w:p>
        </w:tc>
        <w:tc>
          <w:tcPr>
            <w:tcW w:w="428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304"/>
        </w:trPr>
        <w:tc>
          <w:tcPr>
            <w:tcW w:w="10560" w:type="dxa"/>
            <w:vAlign w:val="bottom"/>
            <w:gridSpan w:val="15"/>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Condensed Consolidated Statements of Operations for the three months ended March 31, 2020 and 2021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F-26</w:t>
            </w:r>
          </w:p>
        </w:tc>
      </w:tr>
      <w:tr>
        <w:trPr>
          <w:trHeight w:val="20"/>
        </w:trPr>
        <w:tc>
          <w:tcPr>
            <w:tcW w:w="37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15"/>
          </w:tcPr>
          <w:p>
            <w:pPr>
              <w:spacing w:after="0"/>
              <w:rPr>
                <w:rFonts w:ascii="Arial" w:cs="Arial" w:eastAsia="Arial" w:hAnsi="Arial"/>
                <w:sz w:val="18"/>
                <w:szCs w:val="18"/>
                <w:color w:val="0000EE"/>
                <w:w w:val="92"/>
              </w:rPr>
            </w:pPr>
            <w:hyperlink w:anchor="page178">
              <w:r>
                <w:rPr>
                  <w:rFonts w:ascii="Arial" w:cs="Arial" w:eastAsia="Arial" w:hAnsi="Arial"/>
                  <w:sz w:val="18"/>
                  <w:szCs w:val="18"/>
                  <w:color w:val="0000EE"/>
                  <w:w w:val="92"/>
                </w:rPr>
                <w:t>Condensed Consolidated Statements of Changes in Convertible Preferred Units, Redeemable Common Member Units and Members’ Deficit for</w:t>
              </w:r>
            </w:hyperlink>
          </w:p>
        </w:tc>
        <w:tc>
          <w:tcPr>
            <w:tcW w:w="40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the three months ended March 31, 2020 and 2021</w:t>
              </w:r>
            </w:hyperlink>
          </w:p>
        </w:tc>
        <w:tc>
          <w:tcPr>
            <w:tcW w:w="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r>
      <w:tr>
        <w:trPr>
          <w:trHeight w:val="20"/>
        </w:trPr>
        <w:tc>
          <w:tcPr>
            <w:tcW w:w="18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10560" w:type="dxa"/>
            <w:vAlign w:val="bottom"/>
            <w:gridSpan w:val="15"/>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Condensed Consolidated Statements of Cash Flows for the three months ended March 31, 2020 and 2021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F-28</w:t>
            </w:r>
          </w:p>
        </w:tc>
      </w:tr>
      <w:tr>
        <w:trPr>
          <w:trHeight w:val="304"/>
        </w:trPr>
        <w:tc>
          <w:tcPr>
            <w:tcW w:w="7580" w:type="dxa"/>
            <w:vAlign w:val="bottom"/>
            <w:tcBorders>
              <w:top w:val="single" w:sz="8" w:color="0000EE"/>
            </w:tcBorders>
            <w:gridSpan w:val="12"/>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Notes to the Condensed Consolidated Financial Statements</w:t>
              </w:r>
            </w:hyperlink>
          </w:p>
        </w:tc>
        <w:tc>
          <w:tcPr>
            <w:tcW w:w="298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385"/>
        </w:trPr>
        <w:tc>
          <w:tcPr>
            <w:tcW w:w="18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gridSpan w:val="8"/>
          </w:tcPr>
          <w:p>
            <w:pPr>
              <w:ind w:left="7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and Members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Context Therapeutics LLC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We have audited the accompanying consolidated balance sheets of Context Therapeutics LLC and Subsidiaries (the “Company”) as of December 31, 2019 and 2020, and the related consolidated statements of operations, changes in convertible preferred units, redeemable common member units and members’ deficit, and cash flows for the years then ended, and the related notes (collectively referred to as the “consolidated financial statements”). In our opinion, the consolidated financial statements present fairly, in all material respects, the financial position of Context Therapeutics LLC and Subsidiaries as of December 31, 2019 and 2020, and the results of their operations and their cash flows for each of the years then ended,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inception and has a working capital deficit and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Holmdel,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CohnReznick LLP</w:t>
      </w:r>
    </w:p>
    <w:p>
      <w:pPr>
        <w:spacing w:after="0" w:line="21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March 19, 2021, except for the effects of the matter discussed in Note 3 (Correction of Immaterial Misstatement) which is as of April 30, 2021 and the reverse stock split described in Note 6 and reverse triangular merger described in Note 11, which are as of June 25,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Context Therapeutics LLC and Subsidiaries’ auditor since January 2021.</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226,603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341,037</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13,004</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349,709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33,941</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117,631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467,340</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Redeemable Common Member Units and Members’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Convertible promissory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21,227,093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5,829,292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bridge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615,838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Note payable—current</w:t>
            </w:r>
          </w:p>
        </w:tc>
        <w:tc>
          <w:tcPr>
            <w:tcW w:w="100" w:type="dxa"/>
            <w:vAlign w:val="bottom"/>
          </w:tcPr>
          <w:p>
            <w:pPr>
              <w:spacing w:after="0"/>
              <w:rPr>
                <w:sz w:val="18"/>
                <w:szCs w:val="18"/>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55,014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2,067,901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2,707,861</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197,472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955,989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24,108,304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9,548,156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Note payable—noncurrent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69,040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24,108,304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9,617,196</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Unit equity, inclusive of convertible preferred units and common member units, $0.0001 par value, 30,000,000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authorized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Convertible preferred units and redeemable common member units: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A preferred units, 210,715 issued and outstanding at December 31, 2020 (liquidation value of</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$1,510,342)</w:t>
            </w:r>
          </w:p>
        </w:tc>
        <w:tc>
          <w:tcPr>
            <w:tcW w:w="1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1,400,935</w:t>
            </w:r>
          </w:p>
        </w:tc>
        <w:tc>
          <w:tcPr>
            <w:tcW w:w="0" w:type="dxa"/>
            <w:vAlign w:val="bottom"/>
          </w:tcPr>
          <w:p>
            <w:pPr>
              <w:spacing w:after="0"/>
              <w:rPr>
                <w:sz w:val="1"/>
                <w:szCs w:val="1"/>
                <w:color w:val="auto"/>
              </w:rPr>
            </w:pPr>
          </w:p>
        </w:tc>
      </w:tr>
      <w:tr>
        <w:trPr>
          <w:trHeight w:val="202"/>
        </w:trPr>
        <w:tc>
          <w:tcPr>
            <w:tcW w:w="8520" w:type="dxa"/>
            <w:vAlign w:val="bottom"/>
          </w:tcPr>
          <w:p>
            <w:pPr>
              <w:ind w:left="360"/>
              <w:spacing w:after="0" w:line="201" w:lineRule="exact"/>
              <w:rPr>
                <w:sz w:val="20"/>
                <w:szCs w:val="20"/>
                <w:color w:val="auto"/>
              </w:rPr>
            </w:pPr>
            <w:r>
              <w:rPr>
                <w:rFonts w:ascii="Arial" w:cs="Arial" w:eastAsia="Arial" w:hAnsi="Arial"/>
                <w:sz w:val="18"/>
                <w:szCs w:val="18"/>
                <w:color w:val="auto"/>
                <w:w w:val="96"/>
              </w:rPr>
              <w:t>Series Seed preferred units, 2,624,324 issued and outstanding at December 31, 2020 (liquidation value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540"/>
              <w:spacing w:after="0"/>
              <w:rPr>
                <w:sz w:val="20"/>
                <w:szCs w:val="20"/>
                <w:color w:val="auto"/>
              </w:rPr>
            </w:pPr>
            <w:r>
              <w:rPr>
                <w:rFonts w:ascii="Arial" w:cs="Arial" w:eastAsia="Arial" w:hAnsi="Arial"/>
                <w:sz w:val="18"/>
                <w:szCs w:val="18"/>
                <w:color w:val="auto"/>
              </w:rPr>
              <w:t>$11,796,713)</w:t>
            </w:r>
          </w:p>
        </w:tc>
        <w:tc>
          <w:tcPr>
            <w:tcW w:w="100" w:type="dxa"/>
            <w:vAlign w:val="bottom"/>
          </w:tcPr>
          <w:p>
            <w:pPr>
              <w:spacing w:after="0"/>
              <w:rPr>
                <w:sz w:val="20"/>
                <w:szCs w:val="20"/>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6,341,288</w:t>
            </w:r>
          </w:p>
        </w:tc>
        <w:tc>
          <w:tcPr>
            <w:tcW w:w="0" w:type="dxa"/>
            <w:vAlign w:val="bottom"/>
          </w:tcPr>
          <w:p>
            <w:pPr>
              <w:spacing w:after="0"/>
              <w:rPr>
                <w:sz w:val="1"/>
                <w:szCs w:val="1"/>
                <w:color w:val="auto"/>
              </w:rPr>
            </w:pPr>
          </w:p>
        </w:tc>
      </w:tr>
      <w:tr>
        <w:trPr>
          <w:trHeight w:val="202"/>
        </w:trPr>
        <w:tc>
          <w:tcPr>
            <w:tcW w:w="8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Redeemable common member units, 16,666 issued and outstanding at December 31, 2019 and 2020,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126,000</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Total convertible preferred units and redeemable common member units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7,771,223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2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member units, 324,145 and 331,789 issued and outstanding at December 31, 2019 and 2020,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1,481,247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1,876,458</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w w:val="90"/>
              </w:rPr>
              <w:t>(25,442,035)</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(18,797,570)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0"/>
              </w:rPr>
              <w:t>(23,960,756)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(16,921,079)</w:t>
            </w:r>
          </w:p>
        </w:tc>
        <w:tc>
          <w:tcPr>
            <w:tcW w:w="0" w:type="dxa"/>
            <w:vAlign w:val="bottom"/>
          </w:tcPr>
          <w:p>
            <w:pPr>
              <w:spacing w:after="0"/>
              <w:rPr>
                <w:sz w:val="1"/>
                <w:szCs w:val="1"/>
                <w:color w:val="auto"/>
              </w:rPr>
            </w:pPr>
          </w:p>
        </w:tc>
      </w:tr>
      <w:tr>
        <w:trPr>
          <w:trHeight w:val="223"/>
        </w:trPr>
        <w:tc>
          <w:tcPr>
            <w:tcW w:w="8520" w:type="dxa"/>
            <w:vAlign w:val="bottom"/>
          </w:tcPr>
          <w:p>
            <w:pPr>
              <w:ind w:left="720"/>
              <w:spacing w:after="0"/>
              <w:rPr>
                <w:sz w:val="20"/>
                <w:szCs w:val="20"/>
                <w:color w:val="auto"/>
              </w:rPr>
            </w:pPr>
            <w:r>
              <w:rPr>
                <w:rFonts w:ascii="Arial" w:cs="Arial" w:eastAsia="Arial" w:hAnsi="Arial"/>
                <w:sz w:val="18"/>
                <w:szCs w:val="18"/>
                <w:color w:val="auto"/>
                <w:w w:val="97"/>
              </w:rPr>
              <w:t>Total liabilities, convertible preferred units, redeemable common member units and members’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273,548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2,411,937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1,641,501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2,965,207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930,667</w:t>
            </w:r>
          </w:p>
        </w:tc>
        <w:tc>
          <w:tcPr>
            <w:tcW w:w="0" w:type="dxa"/>
            <w:vAlign w:val="bottom"/>
          </w:tcPr>
          <w:p>
            <w:pPr>
              <w:spacing w:after="0"/>
              <w:rPr>
                <w:sz w:val="1"/>
                <w:szCs w:val="1"/>
                <w:color w:val="auto"/>
              </w:rPr>
            </w:pPr>
          </w:p>
        </w:tc>
      </w:tr>
      <w:tr>
        <w:trPr>
          <w:trHeight w:val="223"/>
        </w:trPr>
        <w:tc>
          <w:tcPr>
            <w:tcW w:w="858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(5,377,144)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(2,572,168)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(1,100,390)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(661,224)</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Change in fair value of convertible promissory notes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9,877,857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(6,384,169)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6,644,465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Pro forma C Corporation information (unaudited) (Note 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Historical income from operations before income taxes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6,644,465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Pro forma provision (benefit) for income taxes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(2,572,168)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Pro forma net income per common share, basic and diluted (unaudited)</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common shares outstanding, basic and diluted (unaudited)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2,830,387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Convertible Preferred Units, Redeemable Common Member Units and Members’ Deficit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Redeemable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00" w:type="dxa"/>
            <w:vAlign w:val="bottom"/>
          </w:tcPr>
          <w:p>
            <w:pPr>
              <w:spacing w:after="0"/>
              <w:rPr>
                <w:sz w:val="10"/>
                <w:szCs w:val="10"/>
                <w:color w:val="auto"/>
              </w:rPr>
            </w:pPr>
          </w:p>
        </w:tc>
        <w:tc>
          <w:tcPr>
            <w:tcW w:w="1520" w:type="dxa"/>
            <w:vAlign w:val="bottom"/>
            <w:gridSpan w:val="6"/>
          </w:tcPr>
          <w:p>
            <w:pPr>
              <w:ind w:left="480"/>
              <w:spacing w:after="0" w:line="122" w:lineRule="exact"/>
              <w:rPr>
                <w:sz w:val="20"/>
                <w:szCs w:val="20"/>
                <w:color w:val="auto"/>
              </w:rPr>
            </w:pPr>
            <w:r>
              <w:rPr>
                <w:rFonts w:ascii="Arial" w:cs="Arial" w:eastAsia="Arial" w:hAnsi="Arial"/>
                <w:sz w:val="11"/>
                <w:szCs w:val="11"/>
                <w:b w:val="1"/>
                <w:bCs w:val="1"/>
                <w:color w:val="auto"/>
              </w:rPr>
              <w:t>Series A</w:t>
            </w:r>
          </w:p>
        </w:tc>
        <w:tc>
          <w:tcPr>
            <w:tcW w:w="1580" w:type="dxa"/>
            <w:vAlign w:val="bottom"/>
            <w:gridSpan w:val="6"/>
          </w:tcPr>
          <w:p>
            <w:pPr>
              <w:jc w:val="right"/>
              <w:ind w:right="600"/>
              <w:spacing w:after="0" w:line="122" w:lineRule="exact"/>
              <w:rPr>
                <w:sz w:val="20"/>
                <w:szCs w:val="20"/>
                <w:color w:val="auto"/>
              </w:rPr>
            </w:pPr>
            <w:r>
              <w:rPr>
                <w:rFonts w:ascii="Arial" w:cs="Arial" w:eastAsia="Arial" w:hAnsi="Arial"/>
                <w:sz w:val="11"/>
                <w:szCs w:val="11"/>
                <w:b w:val="1"/>
                <w:bCs w:val="1"/>
                <w:color w:val="auto"/>
              </w:rPr>
              <w:t>Series Seed</w:t>
            </w:r>
          </w:p>
        </w:tc>
        <w:tc>
          <w:tcPr>
            <w:tcW w:w="1440" w:type="dxa"/>
            <w:vAlign w:val="bottom"/>
            <w:tcBorders>
              <w:right w:val="single" w:sz="8" w:color="auto"/>
            </w:tcBorders>
            <w:gridSpan w:val="5"/>
          </w:tcPr>
          <w:p>
            <w:pPr>
              <w:ind w:left="380"/>
              <w:spacing w:after="0" w:line="122" w:lineRule="exact"/>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w w:val="89"/>
              </w:rPr>
              <w:t>Additional</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1520" w:type="dxa"/>
            <w:vAlign w:val="bottom"/>
            <w:gridSpan w:val="6"/>
          </w:tcPr>
          <w:p>
            <w:pPr>
              <w:ind w:left="300"/>
              <w:spacing w:after="0"/>
              <w:rPr>
                <w:sz w:val="20"/>
                <w:szCs w:val="20"/>
                <w:color w:val="auto"/>
              </w:rPr>
            </w:pPr>
            <w:r>
              <w:rPr>
                <w:rFonts w:ascii="Arial" w:cs="Arial" w:eastAsia="Arial" w:hAnsi="Arial"/>
                <w:sz w:val="11"/>
                <w:szCs w:val="11"/>
                <w:b w:val="1"/>
                <w:bCs w:val="1"/>
                <w:color w:val="auto"/>
              </w:rPr>
              <w:t>Preferred Units</w:t>
            </w:r>
          </w:p>
        </w:tc>
        <w:tc>
          <w:tcPr>
            <w:tcW w:w="1580" w:type="dxa"/>
            <w:vAlign w:val="bottom"/>
            <w:gridSpan w:val="6"/>
          </w:tcPr>
          <w:p>
            <w:pPr>
              <w:jc w:val="right"/>
              <w:ind w:right="500"/>
              <w:spacing w:after="0"/>
              <w:rPr>
                <w:sz w:val="20"/>
                <w:szCs w:val="20"/>
                <w:color w:val="auto"/>
              </w:rPr>
            </w:pPr>
            <w:r>
              <w:rPr>
                <w:rFonts w:ascii="Arial" w:cs="Arial" w:eastAsia="Arial" w:hAnsi="Arial"/>
                <w:sz w:val="11"/>
                <w:szCs w:val="11"/>
                <w:b w:val="1"/>
                <w:bCs w:val="1"/>
                <w:color w:val="auto"/>
              </w:rPr>
              <w:t>Preferred Units</w:t>
            </w:r>
          </w:p>
        </w:tc>
        <w:tc>
          <w:tcPr>
            <w:tcW w:w="1440" w:type="dxa"/>
            <w:vAlign w:val="bottom"/>
            <w:tcBorders>
              <w:right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rPr>
              <w:t>Member Units</w:t>
            </w:r>
          </w:p>
        </w:tc>
        <w:tc>
          <w:tcPr>
            <w:tcW w:w="100" w:type="dxa"/>
            <w:vAlign w:val="bottom"/>
          </w:tcPr>
          <w:p>
            <w:pPr>
              <w:spacing w:after="0"/>
              <w:rPr>
                <w:sz w:val="11"/>
                <w:szCs w:val="11"/>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1"/>
                <w:szCs w:val="11"/>
                <w:b w:val="1"/>
                <w:bCs w:val="1"/>
                <w:color w:val="auto"/>
                <w:w w:val="90"/>
              </w:rPr>
              <w:t>Common Member Units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Paid-in</w:t>
            </w:r>
          </w:p>
        </w:tc>
        <w:tc>
          <w:tcPr>
            <w:tcW w:w="1000" w:type="dxa"/>
            <w:vAlign w:val="bottom"/>
            <w:gridSpan w:val="2"/>
          </w:tcPr>
          <w:p>
            <w:pPr>
              <w:jc w:val="right"/>
              <w:ind w:right="259"/>
              <w:spacing w:after="0"/>
              <w:rPr>
                <w:sz w:val="20"/>
                <w:szCs w:val="20"/>
                <w:color w:val="auto"/>
              </w:rPr>
            </w:pPr>
            <w:r>
              <w:rPr>
                <w:rFonts w:ascii="Arial" w:cs="Arial" w:eastAsia="Arial" w:hAnsi="Arial"/>
                <w:sz w:val="11"/>
                <w:szCs w:val="11"/>
                <w:b w:val="1"/>
                <w:bCs w:val="1"/>
                <w:color w:val="auto"/>
                <w:w w:val="98"/>
              </w:rPr>
              <w:t>Accumulated</w:t>
            </w:r>
          </w:p>
        </w:tc>
        <w:tc>
          <w:tcPr>
            <w:tcW w:w="920" w:type="dxa"/>
            <w:vAlign w:val="bottom"/>
            <w:gridSpan w:val="2"/>
          </w:tcPr>
          <w:p>
            <w:pPr>
              <w:jc w:val="right"/>
              <w:ind w:right="88"/>
              <w:spacing w:after="0"/>
              <w:rPr>
                <w:sz w:val="20"/>
                <w:szCs w:val="20"/>
                <w:color w:val="auto"/>
              </w:rPr>
            </w:pPr>
            <w:r>
              <w:rPr>
                <w:rFonts w:ascii="Arial" w:cs="Arial" w:eastAsia="Arial" w:hAnsi="Arial"/>
                <w:sz w:val="11"/>
                <w:szCs w:val="11"/>
                <w:b w:val="1"/>
                <w:bCs w:val="1"/>
                <w:color w:val="auto"/>
                <w:w w:val="91"/>
              </w:rPr>
              <w:t>Total Members’</w:t>
            </w:r>
          </w:p>
        </w:tc>
      </w:tr>
      <w:tr>
        <w:trPr>
          <w:trHeight w:val="115"/>
        </w:trPr>
        <w:tc>
          <w:tcPr>
            <w:tcW w:w="2300" w:type="dxa"/>
            <w:vAlign w:val="bottom"/>
          </w:tcPr>
          <w:p>
            <w:pPr>
              <w:spacing w:after="0"/>
              <w:rPr>
                <w:sz w:val="10"/>
                <w:szCs w:val="10"/>
                <w:color w:val="auto"/>
              </w:rPr>
            </w:pPr>
          </w:p>
        </w:tc>
        <w:tc>
          <w:tcPr>
            <w:tcW w:w="660" w:type="dxa"/>
            <w:vAlign w:val="bottom"/>
            <w:tcBorders>
              <w:top w:val="single" w:sz="8" w:color="auto"/>
            </w:tcBorders>
            <w:gridSpan w:val="3"/>
          </w:tcPr>
          <w:p>
            <w:pPr>
              <w:ind w:left="140"/>
              <w:spacing w:after="0" w:line="115" w:lineRule="exact"/>
              <w:rPr>
                <w:sz w:val="20"/>
                <w:szCs w:val="20"/>
                <w:color w:val="auto"/>
              </w:rPr>
            </w:pPr>
            <w:r>
              <w:rPr>
                <w:rFonts w:ascii="Arial" w:cs="Arial" w:eastAsia="Arial" w:hAnsi="Arial"/>
                <w:sz w:val="11"/>
                <w:szCs w:val="11"/>
                <w:b w:val="1"/>
                <w:bCs w:val="1"/>
                <w:color w:val="auto"/>
              </w:rPr>
              <w:t>Units</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700" w:type="dxa"/>
            <w:vAlign w:val="bottom"/>
            <w:tcBorders>
              <w:top w:val="single" w:sz="8" w:color="auto"/>
            </w:tcBorders>
            <w:gridSpan w:val="2"/>
          </w:tcPr>
          <w:p>
            <w:pPr>
              <w:ind w:left="200"/>
              <w:spacing w:after="0" w:line="115" w:lineRule="exact"/>
              <w:rPr>
                <w:sz w:val="20"/>
                <w:szCs w:val="20"/>
                <w:color w:val="auto"/>
              </w:rPr>
            </w:pPr>
            <w:r>
              <w:rPr>
                <w:rFonts w:ascii="Arial" w:cs="Arial" w:eastAsia="Arial" w:hAnsi="Arial"/>
                <w:sz w:val="11"/>
                <w:szCs w:val="11"/>
                <w:b w:val="1"/>
                <w:bCs w:val="1"/>
                <w:color w:val="auto"/>
              </w:rPr>
              <w:t>Units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9"/>
              <w:spacing w:after="0" w:line="115" w:lineRule="exact"/>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60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Units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1"/>
                <w:szCs w:val="11"/>
                <w:b w:val="1"/>
                <w:bCs w:val="1"/>
                <w:color w:val="auto"/>
                <w:w w:val="86"/>
              </w:rPr>
              <w:t>Amount</w:t>
            </w: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ind w:left="160"/>
              <w:spacing w:after="0" w:line="115" w:lineRule="exact"/>
              <w:rPr>
                <w:sz w:val="20"/>
                <w:szCs w:val="20"/>
                <w:color w:val="auto"/>
              </w:rPr>
            </w:pPr>
            <w:r>
              <w:rPr>
                <w:rFonts w:ascii="Arial" w:cs="Arial" w:eastAsia="Arial" w:hAnsi="Arial"/>
                <w:sz w:val="11"/>
                <w:szCs w:val="11"/>
                <w:b w:val="1"/>
                <w:bCs w:val="1"/>
                <w:color w:val="auto"/>
              </w:rPr>
              <w:t>Units</w:t>
            </w: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320"/>
              <w:spacing w:after="0" w:line="115" w:lineRule="exact"/>
              <w:rPr>
                <w:sz w:val="20"/>
                <w:szCs w:val="20"/>
                <w:color w:val="auto"/>
              </w:rPr>
            </w:pPr>
            <w:r>
              <w:rPr>
                <w:rFonts w:ascii="Arial" w:cs="Arial" w:eastAsia="Arial" w:hAnsi="Arial"/>
                <w:sz w:val="11"/>
                <w:szCs w:val="11"/>
                <w:b w:val="1"/>
                <w:bCs w:val="1"/>
                <w:color w:val="auto"/>
              </w:rPr>
              <w:t>Capital</w:t>
            </w:r>
          </w:p>
        </w:tc>
        <w:tc>
          <w:tcPr>
            <w:tcW w:w="1000" w:type="dxa"/>
            <w:vAlign w:val="bottom"/>
            <w:gridSpan w:val="2"/>
          </w:tcPr>
          <w:p>
            <w:pPr>
              <w:jc w:val="right"/>
              <w:ind w:right="419"/>
              <w:spacing w:after="0" w:line="115" w:lineRule="exact"/>
              <w:rPr>
                <w:sz w:val="20"/>
                <w:szCs w:val="20"/>
                <w:color w:val="auto"/>
              </w:rPr>
            </w:pPr>
            <w:r>
              <w:rPr>
                <w:rFonts w:ascii="Arial" w:cs="Arial" w:eastAsia="Arial" w:hAnsi="Arial"/>
                <w:sz w:val="11"/>
                <w:szCs w:val="11"/>
                <w:b w:val="1"/>
                <w:bCs w:val="1"/>
                <w:color w:val="auto"/>
              </w:rPr>
              <w:t>Deficit</w:t>
            </w:r>
          </w:p>
        </w:tc>
        <w:tc>
          <w:tcPr>
            <w:tcW w:w="920" w:type="dxa"/>
            <w:vAlign w:val="bottom"/>
            <w:gridSpan w:val="2"/>
          </w:tcPr>
          <w:p>
            <w:pPr>
              <w:jc w:val="right"/>
              <w:ind w:right="288"/>
              <w:spacing w:after="0" w:line="115" w:lineRule="exact"/>
              <w:rPr>
                <w:sz w:val="20"/>
                <w:szCs w:val="20"/>
                <w:color w:val="auto"/>
              </w:rPr>
            </w:pPr>
            <w:r>
              <w:rPr>
                <w:rFonts w:ascii="Arial" w:cs="Arial" w:eastAsia="Arial" w:hAnsi="Arial"/>
                <w:sz w:val="11"/>
                <w:szCs w:val="11"/>
                <w:b w:val="1"/>
                <w:bCs w:val="1"/>
                <w:color w:val="auto"/>
              </w:rPr>
              <w:t>Deficit</w:t>
            </w: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2019</w:t>
            </w:r>
          </w:p>
        </w:tc>
        <w:tc>
          <w:tcPr>
            <w:tcW w:w="52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8"/>
              </w:rPr>
              <w:t>16,666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165,000</w:t>
            </w:r>
          </w:p>
        </w:tc>
        <w:tc>
          <w:tcPr>
            <w:tcW w:w="28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279,934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666,996</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(19,057,866)</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(18,390,842)</w:t>
            </w:r>
          </w:p>
        </w:tc>
        <w:tc>
          <w:tcPr>
            <w:tcW w:w="120" w:type="dxa"/>
            <w:vAlign w:val="bottom"/>
            <w:tcBorders>
              <w:top w:val="single" w:sz="8" w:color="CCEEFF"/>
            </w:tcBorders>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Unit-based compensation expense,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2300" w:type="dxa"/>
            <w:vAlign w:val="bottom"/>
          </w:tcPr>
          <w:p>
            <w:pPr>
              <w:ind w:left="140"/>
              <w:spacing w:after="0" w:line="149" w:lineRule="exact"/>
              <w:rPr>
                <w:sz w:val="20"/>
                <w:szCs w:val="20"/>
                <w:color w:val="auto"/>
              </w:rPr>
            </w:pPr>
            <w:r>
              <w:rPr>
                <w:rFonts w:ascii="Arial" w:cs="Arial" w:eastAsia="Arial" w:hAnsi="Arial"/>
                <w:sz w:val="14"/>
                <w:szCs w:val="14"/>
                <w:color w:val="auto"/>
              </w:rPr>
              <w:t>including vesting of restricted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300" w:type="dxa"/>
            <w:vAlign w:val="bottom"/>
          </w:tcPr>
          <w:p>
            <w:pPr>
              <w:ind w:left="140"/>
              <w:spacing w:after="0" w:line="149" w:lineRule="exact"/>
              <w:rPr>
                <w:sz w:val="20"/>
                <w:szCs w:val="20"/>
                <w:color w:val="auto"/>
              </w:rPr>
            </w:pPr>
            <w:r>
              <w:rPr>
                <w:rFonts w:ascii="Arial" w:cs="Arial" w:eastAsia="Arial" w:hAnsi="Arial"/>
                <w:sz w:val="14"/>
                <w:szCs w:val="14"/>
                <w:color w:val="auto"/>
              </w:rPr>
              <w:t>member units and issuance of</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300" w:type="dxa"/>
            <w:vAlign w:val="bottom"/>
          </w:tcPr>
          <w:p>
            <w:pPr>
              <w:ind w:left="140"/>
              <w:spacing w:after="0"/>
              <w:rPr>
                <w:sz w:val="20"/>
                <w:szCs w:val="20"/>
                <w:color w:val="auto"/>
              </w:rPr>
            </w:pPr>
            <w:r>
              <w:rPr>
                <w:rFonts w:ascii="Arial" w:cs="Arial" w:eastAsia="Arial" w:hAnsi="Arial"/>
                <w:sz w:val="14"/>
                <w:szCs w:val="14"/>
                <w:color w:val="auto"/>
              </w:rPr>
              <w:t>common member units</w:t>
            </w:r>
          </w:p>
        </w:tc>
        <w:tc>
          <w:tcPr>
            <w:tcW w:w="66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44,211</w:t>
            </w:r>
          </w:p>
        </w:tc>
        <w:tc>
          <w:tcPr>
            <w:tcW w:w="16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775,251</w:t>
            </w:r>
          </w:p>
        </w:tc>
        <w:tc>
          <w:tcPr>
            <w:tcW w:w="10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775,255</w:t>
            </w: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fair value of redeemable</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member units to</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redemption value</w:t>
            </w: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5"/>
              </w:rPr>
              <w:t>(39,000)</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39,000</w:t>
            </w:r>
          </w:p>
        </w:tc>
        <w:tc>
          <w:tcPr>
            <w:tcW w:w="100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39,000</w:t>
            </w:r>
          </w:p>
        </w:tc>
      </w:tr>
      <w:tr>
        <w:trPr>
          <w:trHeight w:val="148"/>
        </w:trPr>
        <w:tc>
          <w:tcPr>
            <w:tcW w:w="2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(6,384,169)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(6,384,169)</w:t>
            </w:r>
          </w:p>
        </w:tc>
      </w:tr>
      <w:tr>
        <w:trPr>
          <w:trHeight w:val="27"/>
        </w:trPr>
        <w:tc>
          <w:tcPr>
            <w:tcW w:w="2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2019</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16,666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126,000</w:t>
            </w: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324,145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1,481,247</w:t>
            </w:r>
          </w:p>
        </w:tc>
        <w:tc>
          <w:tcPr>
            <w:tcW w:w="10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(25,442,035)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(23,960,756)</w:t>
            </w:r>
          </w:p>
        </w:tc>
      </w:tr>
      <w:tr>
        <w:trPr>
          <w:trHeight w:val="148"/>
        </w:trPr>
        <w:tc>
          <w:tcPr>
            <w:tcW w:w="2300" w:type="dxa"/>
            <w:vAlign w:val="bottom"/>
          </w:tcPr>
          <w:p>
            <w:pPr>
              <w:spacing w:after="0" w:line="149" w:lineRule="exact"/>
              <w:rPr>
                <w:sz w:val="20"/>
                <w:szCs w:val="20"/>
                <w:color w:val="auto"/>
              </w:rPr>
            </w:pPr>
            <w:r>
              <w:rPr>
                <w:rFonts w:ascii="Arial" w:cs="Arial" w:eastAsia="Arial" w:hAnsi="Arial"/>
                <w:sz w:val="14"/>
                <w:szCs w:val="14"/>
                <w:color w:val="auto"/>
              </w:rPr>
              <w:t>Sale of Series A preferred units</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132,537</w:t>
            </w:r>
          </w:p>
        </w:tc>
        <w:tc>
          <w:tcPr>
            <w:tcW w:w="1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950,000</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Conversion of bridge notes, including</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accrued interest, to Series A</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units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78,178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529,902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Fair value of warrants issued in</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2300" w:type="dxa"/>
            <w:vAlign w:val="bottom"/>
          </w:tcPr>
          <w:p>
            <w:pPr>
              <w:ind w:left="140"/>
              <w:spacing w:after="0" w:line="149" w:lineRule="exact"/>
              <w:rPr>
                <w:sz w:val="20"/>
                <w:szCs w:val="20"/>
                <w:color w:val="auto"/>
              </w:rPr>
            </w:pPr>
            <w:r>
              <w:rPr>
                <w:rFonts w:ascii="Arial" w:cs="Arial" w:eastAsia="Arial" w:hAnsi="Arial"/>
                <w:sz w:val="14"/>
                <w:szCs w:val="14"/>
                <w:color w:val="auto"/>
              </w:rPr>
              <w:t>conjunction with the Series A</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300" w:type="dxa"/>
            <w:vAlign w:val="bottom"/>
          </w:tcPr>
          <w:p>
            <w:pPr>
              <w:ind w:left="140"/>
              <w:spacing w:after="0"/>
              <w:rPr>
                <w:sz w:val="20"/>
                <w:szCs w:val="20"/>
                <w:color w:val="auto"/>
              </w:rPr>
            </w:pPr>
            <w:r>
              <w:rPr>
                <w:rFonts w:ascii="Arial" w:cs="Arial" w:eastAsia="Arial" w:hAnsi="Arial"/>
                <w:sz w:val="14"/>
                <w:szCs w:val="14"/>
                <w:color w:val="auto"/>
              </w:rPr>
              <w:t>preferred units</w:t>
            </w:r>
          </w:p>
        </w:tc>
        <w:tc>
          <w:tcPr>
            <w:tcW w:w="66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(78,967)</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78,967</w:t>
            </w:r>
          </w:p>
        </w:tc>
        <w:tc>
          <w:tcPr>
            <w:tcW w:w="10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78,967</w:t>
            </w: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Series Seed preferred units</w:t>
            </w:r>
          </w:p>
        </w:tc>
        <w:tc>
          <w:tcPr>
            <w:tcW w:w="66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8,771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Conversion of Junior Convertible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2300" w:type="dxa"/>
            <w:vAlign w:val="bottom"/>
          </w:tcPr>
          <w:p>
            <w:pPr>
              <w:ind w:left="140"/>
              <w:spacing w:after="0" w:line="149" w:lineRule="exact"/>
              <w:rPr>
                <w:sz w:val="20"/>
                <w:szCs w:val="20"/>
                <w:color w:val="auto"/>
              </w:rPr>
            </w:pPr>
            <w:r>
              <w:rPr>
                <w:rFonts w:ascii="Arial" w:cs="Arial" w:eastAsia="Arial" w:hAnsi="Arial"/>
                <w:sz w:val="14"/>
                <w:szCs w:val="14"/>
                <w:color w:val="auto"/>
              </w:rPr>
              <w:t>Notes to Series Seed preferred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300" w:type="dxa"/>
            <w:vAlign w:val="bottom"/>
          </w:tcPr>
          <w:p>
            <w:pPr>
              <w:ind w:left="140"/>
              <w:spacing w:after="0"/>
              <w:rPr>
                <w:sz w:val="20"/>
                <w:szCs w:val="20"/>
                <w:color w:val="auto"/>
              </w:rPr>
            </w:pPr>
            <w:r>
              <w:rPr>
                <w:rFonts w:ascii="Arial" w:cs="Arial" w:eastAsia="Arial" w:hAnsi="Arial"/>
                <w:sz w:val="14"/>
                <w:szCs w:val="14"/>
                <w:color w:val="auto"/>
              </w:rPr>
              <w:t>units</w:t>
            </w:r>
          </w:p>
        </w:tc>
        <w:tc>
          <w:tcPr>
            <w:tcW w:w="66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2,615,553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6,291,288</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Unit-based compensation expense,</w:t>
            </w: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including vesting of restricted</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member units and issuance of</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member units</w:t>
            </w: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7,644</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219,244</w:t>
            </w:r>
          </w:p>
        </w:tc>
        <w:tc>
          <w:tcPr>
            <w:tcW w:w="100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219,245</w:t>
            </w: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Change in fair value of redeemable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2300" w:type="dxa"/>
            <w:vAlign w:val="bottom"/>
          </w:tcPr>
          <w:p>
            <w:pPr>
              <w:ind w:left="140"/>
              <w:spacing w:after="0" w:line="149" w:lineRule="exact"/>
              <w:rPr>
                <w:sz w:val="20"/>
                <w:szCs w:val="20"/>
                <w:color w:val="auto"/>
              </w:rPr>
            </w:pPr>
            <w:r>
              <w:rPr>
                <w:rFonts w:ascii="Arial" w:cs="Arial" w:eastAsia="Arial" w:hAnsi="Arial"/>
                <w:sz w:val="14"/>
                <w:szCs w:val="14"/>
                <w:color w:val="auto"/>
              </w:rPr>
              <w:t>common member units to</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300" w:type="dxa"/>
            <w:vAlign w:val="bottom"/>
          </w:tcPr>
          <w:p>
            <w:pPr>
              <w:ind w:left="140"/>
              <w:spacing w:after="0"/>
              <w:rPr>
                <w:sz w:val="20"/>
                <w:szCs w:val="20"/>
                <w:color w:val="auto"/>
              </w:rPr>
            </w:pPr>
            <w:r>
              <w:rPr>
                <w:rFonts w:ascii="Arial" w:cs="Arial" w:eastAsia="Arial" w:hAnsi="Arial"/>
                <w:sz w:val="14"/>
                <w:szCs w:val="14"/>
                <w:color w:val="auto"/>
              </w:rPr>
              <w:t>redemption value</w:t>
            </w:r>
          </w:p>
        </w:tc>
        <w:tc>
          <w:tcPr>
            <w:tcW w:w="66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5"/>
              </w:rPr>
              <w:t>(97,000)</w:t>
            </w: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97,000</w:t>
            </w:r>
          </w:p>
        </w:tc>
        <w:tc>
          <w:tcPr>
            <w:tcW w:w="10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97,000</w:t>
            </w: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6,644,465</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6,644,465</w:t>
            </w: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Balance at December 31, 2020</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210,715</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6"/>
              </w:rPr>
              <w:t>1,400,935</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2,624,324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6,341,288</w:t>
            </w:r>
          </w:p>
        </w:tc>
        <w:tc>
          <w:tcPr>
            <w:tcW w:w="140" w:type="dxa"/>
            <w:vAlign w:val="bottom"/>
          </w:tcPr>
          <w:p>
            <w:pPr>
              <w:spacing w:after="0"/>
              <w:rPr>
                <w:sz w:val="13"/>
                <w:szCs w:val="13"/>
                <w:color w:val="auto"/>
              </w:rPr>
            </w:pPr>
          </w:p>
        </w:tc>
        <w:tc>
          <w:tcPr>
            <w:tcW w:w="4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8"/>
              </w:rPr>
              <w:t>16,666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29,000</w:t>
            </w: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331,789</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1,876,458</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 (18,797,570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 (16,921,079</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20"/>
        </w:trPr>
        <w:tc>
          <w:tcPr>
            <w:tcW w:w="2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(6,384,169)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6,644,465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Unit-based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775,255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219,245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1,100,390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661,224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Issuance of convertible promissory notes in lieu of severance payments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1,204,000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promissory notes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(9,877,857)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505,410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556,270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757,701</w:t>
            </w:r>
          </w:p>
        </w:tc>
        <w:tc>
          <w:tcPr>
            <w:tcW w:w="0" w:type="dxa"/>
            <w:vAlign w:val="bottom"/>
          </w:tcPr>
          <w:p>
            <w:pPr>
              <w:spacing w:after="0"/>
              <w:rPr>
                <w:sz w:val="1"/>
                <w:szCs w:val="1"/>
                <w:color w:val="auto"/>
              </w:rPr>
            </w:pPr>
          </w:p>
        </w:tc>
      </w:tr>
      <w:tr>
        <w:trPr>
          <w:trHeight w:val="230"/>
        </w:trPr>
        <w:tc>
          <w:tcPr>
            <w:tcW w:w="8680" w:type="dxa"/>
            <w:vAlign w:val="bottom"/>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(2,836,098)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(1,034,620)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Proceeds from the issuance of convertible promissory notes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1,457,405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convertible bridge notes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Proceeds from the issuance of note payable</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124,054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sale of Series A preferred units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Proceeds from the sale of Series Seed preferred units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1,957,405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1,149,054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(878,693)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1,105,296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226,603</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Conversion of demand notes, including accrued interest, to convertible promissory notes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1,893,034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bridge notes, including accrued interest, to Series A preferred units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Arial" w:cs="Arial" w:eastAsia="Arial" w:hAnsi="Arial"/>
                <w:sz w:val="18"/>
                <w:szCs w:val="18"/>
                <w:color w:val="auto"/>
              </w:rPr>
              <w:t>Conversion of convertible promissory notes, including accrued interest, to Series Seed preferred units</w:t>
            </w: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6,291,288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warrants in conjunction with Series A preferred units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Arial" w:cs="Arial" w:eastAsia="Arial" w:hAnsi="Arial"/>
                <w:sz w:val="18"/>
                <w:szCs w:val="18"/>
                <w:color w:val="auto"/>
              </w:rPr>
              <w:t>Deferred offering costs in accounts payable</w:t>
            </w: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redeemable common member units to redemption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Context Therapeutics LLC (the “Company”) is a clinical-stage biopharmaceutical company dedicated to improving the lives of women living with hormone-dependent cancer. The Company was organized in April 2015 under the laws of the State of Delaware. The Company’s operations are located in Philadelphia, Pennsylvania. Prior to the effectiveness of the Company’s registration statement, Context Therapeutics LLC intends to convert into a Delaware corporation and change its name to Context Therapeutics Inc. Following the corporate conversion, Context Therapeutics Inc. will hold all property and assets of Context Therapeutics LLC, and all of the debts and obligations of Context Therapeutics LLC will become the debts and obligations of Context Therapeutics Inc.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has incurred losses and negative cash flows from operations since inception and had an accumulated deficit of $18.8 million as of December 31, 2020. The Company anticipates incurring additional losses until such time, if ever, that it can generate significant revenues from its product candidates currently in development. The Company’s primary source of liquidity to date has been the issuance of convertible promissory notes and convertible preferred units. In February and March 2021, the Company raised $2.8 million in gross proceeds related to the sale of its Series A convertible preferred member units (“Series A Units”) and warrants for common member units, however, substantial additional financing will be needed by the Company to fund its operations and to commercially develop its product candidates. There is no assurance that such financing will be available when needed or on acceptable terms. In view of these matters, there is substantial doubt that the Company will be able to continue as a going concern. The Company’s ability to continue as a going concern is dependent upon the Company’s ability to expand operations and to achieve a level of profitability and positive cash flows. The consolidated financial statements of the Company do not include any adjustments relating to the recoverability and classification of recorded assets, or the amounts and classifications of liabilities that might be necessary should the Company be unable to continue as a going concern.</w:t>
      </w:r>
    </w:p>
    <w:p>
      <w:pPr>
        <w:spacing w:after="0" w:line="18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plans to secure additional capital in the future through equity and/or debt financings, partnerships, collaborations, or other sources to carry out the Company’s planned development activities. If additional capital is not available when required, the Company may need to delay or curtail its operations until such funding is received. Various internal and external factors will affect whether and when the Company’s product candidates become approved for marketing and successful commercialization. The regulatory approval and market acceptance of the Company’s product candidates, length of time and cost of developing and commercializing these product candidates and/or failure of them at any stage of the approval process will materially affect the Company’s financial condition and future operations.</w:t>
      </w:r>
    </w:p>
    <w:p>
      <w:pPr>
        <w:spacing w:after="0" w:line="178" w:lineRule="exact"/>
        <w:rPr>
          <w:sz w:val="20"/>
          <w:szCs w:val="20"/>
          <w:color w:val="auto"/>
        </w:rPr>
      </w:pPr>
    </w:p>
    <w:p>
      <w:pPr>
        <w:ind w:left="120" w:right="420"/>
        <w:spacing w:after="0" w:line="286" w:lineRule="auto"/>
        <w:rPr>
          <w:sz w:val="20"/>
          <w:szCs w:val="20"/>
          <w:color w:val="auto"/>
        </w:rPr>
      </w:pPr>
      <w:r>
        <w:rPr>
          <w:rFonts w:ascii="Arial" w:cs="Arial" w:eastAsia="Arial" w:hAnsi="Arial"/>
          <w:sz w:val="17"/>
          <w:szCs w:val="17"/>
          <w:color w:val="auto"/>
        </w:rPr>
        <w:t>The Company faces risks associated with companies whose products are in development. These risks include the need for additional financing to complete its research and development, achieving its research and development objectives, defending its intellectual property rights, recruiting and retaining skilled personnel, and dependence on key members of management, among others.</w:t>
      </w:r>
    </w:p>
    <w:p>
      <w:pPr>
        <w:spacing w:after="0" w:line="16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spread of COVID-19 during 2020 has caused worldwide economic downturn and significant volatility in the financial markets. There is significant uncertainty as to the likely effects of this disease which may, among other things, materially impact the Company’s planned clinical trials. This pandemic or outbreak could result in difficulty securing clinical trial site locations, contract research organizations, and/or trial monitors and other critical vendors and consultants supporting the trial. In addition, outbreaks or the perception of an outbreak near a clinical trial site location could impact the Company’s ability to enroll patients. These situations, or others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consolidated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Any reference in these notes to applicable guidance is meant to refer to GAAP as found in the Accounting Standards Codification (“ASC”) and Accounting Standards Updates (“ASU”) promulgated by the Financial Accounting Standards Board (“FASB”). The consolidated financial statements include the accounts of the Company, Context Biopharma, Inc. and Context Ireland Ltd., the Company’s wholly owned subsidiaries. All intercompany accounts and transactions have been eliminated in consolidation.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contingent liabilities at the date of the consolidated financial statements and the reported amounts of expenses during the reporting period. Actual results could differ from those estimates.</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Estimates and assumptions are periodically reviewed, and the effects of the revisions are reflected in the accompanying consolidated financial statements in the period they are determined to be necessary. Significant estimates and assumptions made in the accompanying consolidated financial statements include, but are not limited to, the fair value of common membership units, unit-based compensation arrangements, the fair value of convertible debt and in recording the prepayments, accruals and associated expense for research and development activities performed for the Company by third parties.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segment.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At December 31, 2019 and 2020, the Company’s financial instruments included cash equivalents, prepaid expenses and other current assets and accounts payable. The carrying amounts of these assets and liabilities approximate fair value due to their short-term nature. Convertible promissory notes are recorded at approximate fair value on a recurring basis (see Note 4 for further discussion).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considers all highly liquid investments that have original maturities of three months or less when acquired to be cash equivalents. Cash equivalents consist of amounts invested in money market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 costs are recorded as a reduction of additional paid-in capital generated as a result of such offering. Should an in-process equity financing be abandoned, the deferred offering costs will be expensed immediately as a charge to operating expenses in the consolidated statements of operations. As of December 31, 2019 and 2020, the Company had deferred offering costs of $34,000 and $0.1 million related to the Company’s contemplated Series A Unit financing (See Note 11) and the Company’s contemplated IPO.</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 and Redeemable Common Units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The Company accounts for its convertible preferred units subject to possible conversion in accordance with ASC 480, </w:t>
      </w:r>
      <w:r>
        <w:rPr>
          <w:rFonts w:ascii="Arial" w:cs="Arial" w:eastAsia="Arial" w:hAnsi="Arial"/>
          <w:sz w:val="17"/>
          <w:szCs w:val="17"/>
          <w:i w:val="1"/>
          <w:iCs w:val="1"/>
          <w:color w:val="auto"/>
        </w:rPr>
        <w:t>Distinguishing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Conditionally convertible preferred units (including units that feature conversion rights that are either within the control of the holder or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conversion upon the occurrence of uncertain events not solely within the Company’s control) are classified as temporary equity. The Company’s convertible preferred units feature redemption rights that are considered by the Company to be outside of the Company’s control and subject to the occurrence of uncertain future events. Accordingly, at December 31, 2019 and 2020, the convertible preferred units subject to contingent redemption are presented as temporary equity, outside of the members’ deficit section of the Company’s consolidated balance sheets. For more information related to the redemption and conversion features of convertible preferred units, see Note 6. Certain common member units issued to Drexel University (“Drexel”) contain put option rights whereby Drexel may, at their option, request the Company redeem the common member units held by Drexel and at the estimated fair value of the common member units at the time of redemption. Drexel University’s common member units are presented as temporary equity and subsequently remeasured to their estimated redemption value at each reporting period. Drexel’s put option right will terminate immediately prior to and upon consummation of an initial public offering of the Company’s common stock as discussed elsewhere in the registration statement to which these consolidated financial statements are included.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unit-based compensation, and other operational costs related to the Company’s research and development activities and external costs of outside vendors engaged to conduct clinical studies and other research and development activities.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makes estimates of prepaid/accrued expenses as of each balance sheet date in the financial statements based on facts and circumstances known at that time. If the actual timing of the performance of services or the level of effort varies from the estimate, the Company will adjust the accrual accordingly.</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and recognizes unit-based compensation expense for both employee and nonemployee awards based on the grant date fair value of the awards. The Company recognizes unit-based compensation expense on a straight-line basis over the requisite service period of the awards, which is generally the vesting period. The Company recognizes forfeitures as they occur.</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classifies unit-based compensation expense in its consolidated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Company estimates the fair value of employee and non-employee unit awards as of the date of grant using the Black-Scholes option pricing model. The Company historically has been a private company and lacks Company-specific historical and implied volatility information. Therefore, management estimates the expected share price volatility based on the historical volatility of a publicly traded set of peer companies and expects to continue to do so until such time as it has adequate historical data regarding the volatility of its own publicly traded share price. The expected term of the Company’s unit awards has been determined utilizing the “simplified” method for awards that qualify as “plain-vanilla” unit awards. The risk-free interest rate is determined by reference to the yield curve of a zero-coupon U.S. Treasury bond on the date of grant of the award for time periods approximately equal to the expected term of the award. Expected dividend yield is based on the fact that the Company has never paid cash dividends on member units and does not expect to pay any cash dividends in the foreseeable future.</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addition, the Company measures and recognizes unit-based compensation expense for advisors, officers and director restricted unit awards based on the grant date fair value of the awards.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is a limited liability company that is treated as a pass-through entity for income tax purposes. For the pass-through entities, income taxes on net earnings are payable by the members or partners and are not reflected in the Company’s financial statements. Context BioPharma Inc. is subject to corporate income taxes, which have been provided for in the financial statements based upon ASC 740, Income Taxes (“ASC 740”). Under ASC 740, deferred tax assets and liabilities are recognized for future tax consequences attributable to differences between the financial statement carrying amounts of existing assets and liabilities and their respective tax bases. Deferred income taxes reflect the net tax effects of temporary differences between the carrying amounts of assets and liabilities for financial reporting purposes and the amounts used for income tax reporting. Deferred tax assets are reduced by a valuation allowance if a determination is made that it is more likely than not that some or all of the deferred tax assets will not be realized based on the weight of all available evidence.</w:t>
      </w:r>
    </w:p>
    <w:p>
      <w:pPr>
        <w:spacing w:after="0" w:line="17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Certain operations of the Company are also subject to taxation in the city of Philadelphia and the Company accounts for these taxes based upon the provisions of ASC 740.</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As required by ASC 740, the Company recognizes the financial statement benefit of a tax position only after determining that the relevant tax authority would more likely than not sustain the position following an examination. For tax positions meeting the more-likely-than-not threshold, the amount recognized in the financial statements is the largest benefit that has a greater than 50 percent likelihood of being realized upon settlement with the relevant authority.</w:t>
      </w:r>
    </w:p>
    <w:p>
      <w:pPr>
        <w:spacing w:after="0" w:line="18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Company will recognize interest and penalties related to uncertain tax positions in income tax expense. As of December 31, 2019 and 2020, the Company had no accrued interest or penalties related to uncertain tax positions and no amounts have been recognized in the Company’s consolidated statements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Income taxes and Net Income (Loss) Per Share</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Immediately prior to the closing of a qualified initial public offering (“IPO”) (Note 6), the Company will convert to a Delaware C-corporation and all of the Company’s outstanding Series A Units, Series Seed Units and warrants will automatically convert into common shares. In addition, the put option within the Redeemable Common Member Units held by Drexel University will be terminated. In the accompanying consolidated statement of operations for the year ended December 31, 2020, unaudited pro forma basic and diluted net income per share of common stock have been prepared to give effect to the automatic conversion of all outstanding shares of convertible preferred units and the reclassification of the redeemable common member units upon termination of the put option as if they had been converted at the later of the beginning of the reporting period or the issuance date of the convertible preferred or redeemable common unit.</w:t>
      </w:r>
    </w:p>
    <w:p>
      <w:pPr>
        <w:spacing w:after="0" w:line="195"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 pro forma income tax provision has been disclosed for the year ended December 31, 2020 as if the Company was a C-Corporation. Based on the Company’s history of generating operating losses and its anticipation of operating losses continuing in the foreseeable future, the Company has determined that it would not have been more likely than not that the tax benefits from these net operating losses would be realized and as such, a full valuation allowance against all deferred tax assets would be recorded on a pro forma basis. Therefore, for the purposes of the pro forma tax provision, the Company has applied a 0% combined federal and state income rate.</w:t>
      </w:r>
    </w:p>
    <w:p>
      <w:pPr>
        <w:spacing w:after="0" w:line="18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unaudited pro forma net income per share is computed using the weighted average number of common member units outstanding after giving effect to the conversion of $5.7 million of convertible promissory notes, as if they converted on their issuance date of April 1, 2020, into 802,228 Series A Units, the automatic conversion of all convertible preferred units, inclusive of 2,624,324 units of Series Seed convertible preferred units (“Series Seed Units”) issued in May 2020 and 210,715 Series A Units issued throughout 2020 as well as the automatic cashless exercise of warrants to purchase 93,525 common shares, based on the assumption that the fair market value of the Company’s common shares for purposes of automatic exercise under the warrant will be equal to the assumed initial public offering price of $13.00 per share, into common shares upon the closing of a qualified IPO, as if the qualified IPO had occurred at the beginning of the period or the date the shares were issued, if later.</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the calculation of unaudited pro forma basic and diluted net income per common share for the year ended December 31, 2020:</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income attributable to common shareholders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w w:val="94"/>
              </w:rPr>
              <w:t>6,644,465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conversion of convertible promissory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(9,216,633)</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 forma net loss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(2,572,168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349,301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promissory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604,418</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Conversion of Series A Units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Seed Units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4"/>
              </w:rPr>
              <w:t>1,761,533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Automatic cashless exercise of warrants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70,538</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issued in computing unaudited pro forma weighted average basic and diluted common</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4"/>
              </w:rPr>
              <w:t>2,830,387</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Pro forma net income per common share, basic and diluted</w:t>
            </w: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020"/>
              <w:spacing w:after="0"/>
              <w:rPr>
                <w:sz w:val="20"/>
                <w:szCs w:val="20"/>
                <w:color w:val="auto"/>
              </w:rPr>
            </w:pPr>
            <w:r>
              <w:rPr>
                <w:rFonts w:ascii="Arial" w:cs="Arial" w:eastAsia="Arial" w:hAnsi="Arial"/>
                <w:sz w:val="18"/>
                <w:szCs w:val="18"/>
                <w:color w:val="auto"/>
              </w:rPr>
              <w:t>F-11</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Correction of Immaterial Misstatement</w:t>
      </w:r>
    </w:p>
    <w:p>
      <w:pPr>
        <w:spacing w:after="0" w:line="117"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During the three months ended March 31, 2021, the Company identified an error that existed in the presentation in the Consolidated Balance Sheet at December 31, 2020 relating to the fair value allocated to warrants issued in conjunction with the Series A Unit financing completed in 2020. A fair value of $0.3 million was presented within the Consolidated Balance Sheet at December 31, 2020 and the Consolidated Statement of Changes in Convertible Preferred Units, Redeemable Common Member Units and Members’ Deficit for the year then ended. However, the actual fair value of warrants issued in conjunction with the Series A preferred units should have been $0.1 million. The Company believes this is an immaterial misstatement as the change is a reclassification between temporary and permanent equity, is not material to the overall 2020 consolidated financial statements and there is no impact on the Consolidated Statement of Operations or Consolidated Statement of Cash Flows.</w:t>
      </w:r>
    </w:p>
    <w:p>
      <w:pPr>
        <w:spacing w:after="0" w:line="166"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Based on an analysis of ASC 250, Accounting Changes and Error Corrections (“ASC 250”), Staff Accounting Bulletin 99 - “Materiality” (“SAB 99”) and Staff Accounting Bulletin 108 - Considering the Effects of Prior Year Misstatements when Quantifying Misstatements in Current Year Financial Statements (“SAB 108”), the Company determined that the error in presentation was immaterial to the previously-issued financial statements. The Company analyzed and considered all relevant quantitative and qualitative factors and determined that the prior fiscal year financial statements should be corrected, even though such revision previously was and continues to be immaterial to the prior year financial statements.</w:t>
      </w:r>
    </w:p>
    <w:p>
      <w:pPr>
        <w:spacing w:after="0" w:line="161"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Accordingly, the Company restated its presentation to reflect the updated allocation of the fair value of warrants issued in conjunction with the Series A Unit financing within the Company’s Consolidated Balance Sheet as of December 31, 2020 and the Consolidated Statement of Changes in Convertible Preferred Units, Redeemable Common Member Units and Members’ Deficit for the year then ended.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in order to increase transparency and comparability among organizations by, among other provisions, recognizing lease assets and lease liabilities on the balance sheet for those leases classified as operating leases under previous GAAP. In transition, entities may also elect a package of practical expedients that must be applied in its entirety to all leases commencing before the adoption date, unless the lease is modified, and permits entities to not reassess (a) the existence of a lease, (b) the lease classification or (c) the determination of initial direct costs, as of the adoption date, which effectively allows entities to carryforward accounting conclusions under previous GAAP.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entities an optional transition method to apply the guidance under Topic 842 as of the adoption date, rather than as of the earliest period presented. In June 2020, the FASB issued ASU 2020-05 that further delayed the effective date of Topic</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842 to fiscal years beginning July 1, 2022, and interim periods within those years. The Company is currently evaluating the impact of adopting this guidance to its consolidated financial statements but does not believe this adoption will have a material impact due to the fact that the Company does not have any long-term lease commitments.</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w:t>
      </w:r>
      <w:r>
        <w:rPr>
          <w:rFonts w:ascii="Arial" w:cs="Arial" w:eastAsia="Arial" w:hAnsi="Arial"/>
          <w:sz w:val="16"/>
          <w:szCs w:val="16"/>
          <w:color w:val="auto"/>
        </w:rPr>
        <w:t>, which expands the scope of Topic 718,</w:t>
      </w:r>
      <w:r>
        <w:rPr>
          <w:rFonts w:ascii="Arial" w:cs="Arial" w:eastAsia="Arial" w:hAnsi="Arial"/>
          <w:sz w:val="16"/>
          <w:szCs w:val="16"/>
          <w:i w:val="1"/>
          <w:iCs w:val="1"/>
          <w:color w:val="auto"/>
        </w:rPr>
        <w:t xml:space="preserve"> Compensation-Stock Compensation </w:t>
      </w:r>
      <w:r>
        <w:rPr>
          <w:rFonts w:ascii="Arial" w:cs="Arial" w:eastAsia="Arial" w:hAnsi="Arial"/>
          <w:sz w:val="16"/>
          <w:szCs w:val="16"/>
          <w:color w:val="auto"/>
        </w:rPr>
        <w:t>to include share-based payments issued to non-employees for</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Consequently, the accounting for share-based payments to non-employees and employees will be substantially aligned. The Company early adopted this standard as of January 1, 2019 and the impact was immaterial to the Company’s consolidated financial statements.</w:t>
      </w:r>
    </w:p>
    <w:p>
      <w:pPr>
        <w:spacing w:after="0" w:line="15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This guidance modifies disclosure requirements related to fair value measurement and is effective for fiscal years, and interim periods within those fiscal years, beginning after December 15, 2019. Implementation on a prospective or retrospective basis varies by specific disclosure requirement. Early adoption is permitted. ASU 2018-13 also allows for early adoption of any removed or modified disclosures upon issuance of ASU 2018-13 while delaying adoption disclosures until their effective date. The Company adopted this guidance on January 1, 2019 and it had no impact on the Company’s consolidated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left="120" w:right="740"/>
        <w:spacing w:after="0" w:line="342" w:lineRule="auto"/>
        <w:rPr>
          <w:sz w:val="20"/>
          <w:szCs w:val="20"/>
          <w:color w:val="auto"/>
        </w:rPr>
      </w:pPr>
      <w:r>
        <w:rPr>
          <w:rFonts w:ascii="Arial" w:cs="Arial" w:eastAsia="Arial" w:hAnsi="Arial"/>
          <w:sz w:val="16"/>
          <w:szCs w:val="16"/>
          <w:color w:val="auto"/>
        </w:rPr>
        <w:t>The Company utilizes a valuation hierarchy that prioritizes fair value measurements based on the types of inputs used for the various valuation techniques related to its financial assets and financial liabilities. The three levels of inputs used to measure fair value are described as follows: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 – Unobservable inputs in which there is little or no market date, which require the reporting entity to develop its own assumptions.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sets forth the Company’s assets and liabilities measured at fair value on a recurring basis: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December 31, 2019</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400" w:type="dxa"/>
            <w:vAlign w:val="bottom"/>
          </w:tcPr>
          <w:p>
            <w:pPr>
              <w:spacing w:after="0"/>
              <w:rPr>
                <w:sz w:val="10"/>
                <w:szCs w:val="10"/>
                <w:color w:val="auto"/>
              </w:rPr>
            </w:pP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2"/>
                <w:szCs w:val="12"/>
                <w:color w:val="auto"/>
              </w:rPr>
            </w:pPr>
          </w:p>
        </w:tc>
        <w:tc>
          <w:tcPr>
            <w:tcW w:w="17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4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7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Assets (Level 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360"/>
              <w:spacing w:after="0" w:line="201" w:lineRule="exact"/>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5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50,315</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50,315</w:t>
            </w:r>
          </w:p>
        </w:tc>
        <w:tc>
          <w:tcPr>
            <w:tcW w:w="5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Convertible Promissory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21,227,093</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21,227,093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Bridge Notes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615,838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615,838</w:t>
            </w:r>
          </w:p>
        </w:tc>
        <w:tc>
          <w:tcPr>
            <w:tcW w:w="0" w:type="dxa"/>
            <w:vAlign w:val="bottom"/>
          </w:tcPr>
          <w:p>
            <w:pPr>
              <w:spacing w:after="0"/>
              <w:rPr>
                <w:sz w:val="1"/>
                <w:szCs w:val="1"/>
                <w:color w:val="auto"/>
              </w:rPr>
            </w:pPr>
          </w:p>
        </w:tc>
      </w:tr>
      <w:tr>
        <w:trPr>
          <w:trHeight w:val="223"/>
        </w:trPr>
        <w:tc>
          <w:tcPr>
            <w:tcW w:w="4020" w:type="dxa"/>
            <w:vAlign w:val="bottom"/>
          </w:tcPr>
          <w:p>
            <w:pPr>
              <w:ind w:left="7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21,842,931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21,842,931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F-13</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December 31, 2020</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38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17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3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6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Assets (Level 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(Level 2)</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360"/>
              <w:spacing w:after="0" w:line="201" w:lineRule="exact"/>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40"/>
              <w:spacing w:after="0"/>
              <w:rPr>
                <w:sz w:val="20"/>
                <w:szCs w:val="20"/>
                <w:color w:val="auto"/>
              </w:rPr>
            </w:pPr>
            <w:r>
              <w:rPr>
                <w:rFonts w:ascii="Arial" w:cs="Arial" w:eastAsia="Arial" w:hAnsi="Arial"/>
                <w:sz w:val="18"/>
                <w:szCs w:val="18"/>
                <w:color w:val="auto"/>
              </w:rPr>
              <w:t>(Money Market Funds)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50,367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50,367</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Convertible Promissory Notes</w:t>
            </w: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5,829,292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5,829,292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5,829,292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5,829,292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further described in Note 5, the Company issued convertible promissory notes from inception through April 2019 (the “Junior Convertible Notes”) to various investors and from October 2019 through March 2020, the Company issued convertible bridge notes to the Co-Founder and Chief Executive Officer (the “Convertible Bridge Notes”). During April 2020, certain of the Junior Convertible Notes were converted into Senior Convertible Notes (the “Senior Convertible Notes”) (collectively, the “Convertible Promissory Notes”).</w:t>
      </w:r>
    </w:p>
    <w:p>
      <w:pPr>
        <w:spacing w:after="0" w:line="18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Due to the number of embedded provisions contained in the Convertible Promissory Notes and Convertible Bridge Notes, the fair value option, as prescribed by ASC 815, was elected and applied to all Convertible Promissory Note and Convertible Bridge Note issuances since the Company’s inception in 2015, in connection with the preparation of these financial statements. The fair value of the Convertible Promissory Notes and Convertible Bridge Notes is determined using a scenario-based analysis that estimates the fair value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9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Company adjusts the carrying value of its Convertible Promissory Notes and Convertible Bridge Notes to their estimated fair value at each reporting date, with any related increases or decreases in the fair value recorded as change in fair value of convertible promissory notes in the consolidated statement of operations. The change in fair value of convertible promissory notes within the 2020 consolidated statement of operations also includes reversals of gains and losses previously recognized by the Company upon conversion of the notes (Note 5).</w:t>
      </w:r>
    </w:p>
    <w:p>
      <w:pPr>
        <w:spacing w:after="0" w:line="17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fair value of the Junior Convertible Notes and Convertible Bridge Notes at December 31, 2019 was estimated using a Contingent Claims Analysis (“CCA”), also called the Option Pricing Method, by an independent third-party valuation specialist. The model estimated the fair value of the Convertible Promissory Notes based on accrued interest, the time to a future liquidity event and the value of a future liquidity event. Because the Company’s capital structure varied, it was necessary to value the securities in a lattice framework rather than using the Black-Scholes-Merton formula.</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fair value of the Senior Convertible Notes at December 31, 2020 was calculated using an option pricing model (“OPM”) framework and utilized the back-solve method for inferring and allocating the equity value predicated on the concurrent sale of Series A Units. This method was selected as it was concluded that the sale of the Series A Units was an arm’s-length transaction. Application of the OPM back-solve method involves making assumptions for the expected time to liquidity and volatility, and then solving for the value of equity such that value for the most recent financing equals the amount paid.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presents a roll-forward of the aggregate fair values of the Company’s Convertible Promissory Notes (Note 5) for which fair value is determined by Level 3 inputs: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15,805,508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21,842,931</w:t>
            </w:r>
          </w:p>
        </w:tc>
        <w:tc>
          <w:tcPr>
            <w:tcW w:w="120" w:type="dxa"/>
            <w:vAlign w:val="bottom"/>
            <w:shd w:val="clear" w:color="auto" w:fill="CCEEFF"/>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Issuance of Convertible Promissory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1,457,405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Convertible Bridge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r>
      <w:tr>
        <w:trPr>
          <w:trHeight w:val="202"/>
        </w:trPr>
        <w:tc>
          <w:tcPr>
            <w:tcW w:w="5680" w:type="dxa"/>
            <w:vAlign w:val="bottom"/>
          </w:tcPr>
          <w:p>
            <w:pPr>
              <w:ind w:left="360"/>
              <w:spacing w:after="0" w:line="201" w:lineRule="exact"/>
              <w:rPr>
                <w:sz w:val="20"/>
                <w:szCs w:val="20"/>
                <w:color w:val="auto"/>
              </w:rPr>
            </w:pPr>
            <w:r>
              <w:rPr>
                <w:rFonts w:ascii="Arial" w:cs="Arial" w:eastAsia="Arial" w:hAnsi="Arial"/>
                <w:sz w:val="18"/>
                <w:szCs w:val="18"/>
                <w:color w:val="auto"/>
              </w:rPr>
              <w:t>Issuance of Convertible Promissory Notes in lieu of severance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680" w:type="dxa"/>
            <w:vAlign w:val="bottom"/>
          </w:tcPr>
          <w:p>
            <w:pPr>
              <w:ind w:left="540"/>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1,204,000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5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Conversion of demand notes, including interest, into Convertible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Promissory Notes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1,893,034</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Fair value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(93,365)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(9,877,857)</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1,076,349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660,408</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Conversion of Junior Convertible Notes into Series Seed Units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(6,291,288)</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Convertible Bridge Notes into Series A Units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(529,902)</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21,842,931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5,829,292</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Convertible Promissory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Junior Convertible Notes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From inception through December 2018, the Company issued Junior Convertible Notes that had an aggregate issuance date fair value of $15.8 million, an aggregate principal balance of $10.7 million and bore interest at rates ranging from 3.00% to 7.73% per year. From January 2019 through April 2019, the Company issued Junior Convertible Notes in the aggregate principal of $1.5 million that bore interest at rates ranging between 6.00% and 15.00% per year. From April 2015 through December 2017, the Company issued demand notes to the Chief Executive Officer and an immediate family member (the “Related Party”) with an aggregate principal balance of $1.8 million that bore interest at rates ranging from 3.00% to 6.00% per year. During April 2019, $1.9 million of principal and interest was converted from demand notes to a Junior Convertible Note bearing interest at a rate of 15.00%. Additionally, in July 2019, the Company issued $1.2 million of Junior Convertible Notes in lieu of severance payments to former executives, of which $0.9 million and $0.3 million were expensed to general and administrative and research and development expense, respectively, during the year ended December 31, 2019. At December 31, 2019, principal of $5.7 million of Junior Convertible Notes outstanding were held by the Related Party. In the event of qualified financing resulting in gross proceeds of various amounts (“Junior Note Qualified Financing”) the outstanding principal and interest of the Junior Convertible Notes would automatically convert into Series Seed preferred units at a price equal to 75% to 80% of the issue price per share of the units issued in the Junior Note Qualified Financing and on the same terms and conditions of such Junior Note Qualified Financing.</w:t>
      </w:r>
    </w:p>
    <w:p>
      <w:pPr>
        <w:spacing w:after="0" w:line="16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All of the outstanding principal and accrued but unpaid interest associated with the Junior Convertible Notes converted into 2,615,553 Series Seed Units in May 2020, of which 840,363 units were issued to the Related Party. Due to certain embedded features within the Junior Convertible Notes, the Company elected to account for these notes and all their embedded features under the fair value option. At the time of conversion, the estimated fair value of the Junior Convertible Notes was $6.3 million and was reclassified to Series Seed convertible preferred equity. For the year ended December 31, 2019, the Company recognized $0.2 million in the consolidated statement of operations related to decreases in the fair value of the Junior Convertible Notes. In connection with the conversion in 2020, the Company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recorded a non-cash credit of $7.7 million related to the final decrease in fair value of the Junior Convertible Notes. For the year ended December 31, 2019, the Company recognized $1.1 million of interest expense in connection with the Junior Convertible Notes, including $0.5 million payable to the Related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Bridge Notes</w:t>
      </w:r>
    </w:p>
    <w:p>
      <w:pPr>
        <w:spacing w:after="0" w:line="117"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From October 2019 through March 2020, the Company issued convertible bridge notes to the Related Party in the amount of $0.5 million. The Convertible Bridge Notes bore interest at a rate of 6.0% and were set to mature on December 31, 2021 (“Maturity Date”). In the event of qualified financing resulting in gross proceeds of $1.0 million (“Bridge Note Qualified Financing”), the outstanding principal and interest of the Convertible Bridge Notes would automatically convert into Series A Units at a price equal to the issue price per share of the units issued in the Bridge Note Qualified Financing and on the same terms and conditions of such Bridge Note Qualified Financing. In the event that a Bridge Note Qualified Financing was not consummated prior to the Maturity Date, then, at the election of the holder made at least five days prior to the Maturity Date, effective upon the Maturity Date, the outstanding principal balance and any unpaid accrued interest under the Senior Convertible Notes was to convert into Series A Units of the Company at a conversion price equal to 80% of the conversion price. On December 22, 2020, the outstanding principal and accrued but unpaid interest associated with the Convertible Bridge Notes converted into 78,178 Series A Units.</w:t>
      </w:r>
    </w:p>
    <w:p>
      <w:pPr>
        <w:spacing w:after="0" w:line="18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Due to certain embedded features within the Convertible Bridge Notes, the Company elected to account for these notes and all their embedded features under the fair value option. At the time of conversion, the estimated fair value of the Convertible Bridge Notes was $0.5 million and was reclassified to Series A convertible preferred equity. For the year ended December 31, 2019, the Company recognized a change $0.1 million in the consolidated statement of operations related to increases in the fair value of the Convertible Bridge Notes. In connection with the conversion in December 2020, the Company recorded a non-cash credit of $0.1 million related to the final decrease in fair value of the Convertible Bridge Notes. For the years ended December 31, 2019 and 2020, the Company recognized approximately $5,000 and approximately $30,000, respectively, of interest expense in connection with the Convertible Bridge Notes.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Convertible Notes</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April 2020, $5.1 million of principal and $0.6 million of accrued interest related to certain Junior Convertible Notes were converted into Senior Convertible Notes. Of the Senior Convertible Notes issued in 2020, $2.5 million of principal and $0.4 million of accrued interest were issued to the Related Party. The Senior Convertible Notes bear interest at a rate of 6.0% per year and mature on December 31, 2021 (“Maturity Date”). All of the Company’s assets, including intellectual property, are pledged as collateral to the Senior Convertible Note holders. In the event of a qualified financing, whereby the Company issues and sells its Series A Units and raises capital of at least $2.5 million of total gross proceeds in cash (“Senior Note Qualified Financing”), the outstanding principal and interest of the Senior Convertible Notes would automatically convert into Series A Units at a price equal to the issue price per share of the units issued in the Senior Note Qualified Financing and on the same terms and conditions of such Senior Note Qualified Financing. In the event that a Senior Note Qualified Financing is not consummated prior to the Maturity Date, then, at the election of the holder made at least five days prior to the Maturity Date, effective upon the Maturity Date, the outstanding principal balance and any unpaid accrued interest under the Senior Convertible Notes shall be converted into Series A of the Company at a conversion price equal to 90% of the conversion price. In the event that the Company consummates a sale of the Company prior to the conversion or repayment in full of the Senior Convertible Notes, (i) the Company will give the holder at least five days prior written notice of the anticipated closing date of such sale of the Company and (ii) at the closing of such sale of the Company, in lieu of the principal and interest that would otherwise be payable on the Maturity Date, the Company will pay the holder an aggregate amount equal to the greater of: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340" w:hanging="4"/>
        <w:spacing w:after="0" w:line="263"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 (1) times the aggregate amount of principal and interest then outstanding under the Senior Convertible Notes in full satisfaction of the Company’s obligations under the Senior Convertible Notes; or (ii) the sale proceeds multiplied by the pro rata ownership of the holder based upon a conversion of the Senior Convertible Notes at a price equal to the conversion price then in effect.</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the year ended December 31, 2020, the Company recognized a credit of $2.1 million in the consolidated statement of operations related to decreases in the fair value of the Senior Convertible Notes. For the year ended December 31, 2020, the Company recognized $0.3 million of interest expense in connection with the Senior Convertible Notes, including $0.1 million payable to the Related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May 2020, the Company entered into an original loan agreement with Pacific Western Bank as the lender (“Lender”) for a loan in an aggregate principal amount of $0.1 million (the “Loan”) pursuant to the Paycheck Protection Program (the “PPP”) under the Coronavirus Aid, Relief, and Economic Security (CARES) Act and implemented by the U.S. Small Business Administration. In June 2020, the Paycheck Protection Program Flexibility Act was enacted, which among other things, extended the deferral period for loan payments to either (1) the date that Small Business Administration remits the borrower’s loan forgiveness amount to the lender or (2) if the borrower does not apply for loan forgiveness, ten months after the end of the borrower’s loan forgiveness covered period. The Loan matures in two years and bears interest at a rate of 1.0% per year, with all payments deferred through September 5, 2021. Principal and interest are payable monthly commencing on September 5, 2021 and may be prepaid by the Company at any time prior to maturity without penalty. The Company may apply for forgiveness of amounts due under the Loan, with the amount of potential loan forgiveness to be calculated in accordance with the requirements of the PPP based on payroll costs, any mortgage interest payments, any covered rent payments and any covered utilities payments during the 8-24 week period after the origination date of the Loan. The Company utilized the proceeds of the Loan for payroll and other qualifying expenses, but there can be no assurances that any portion of the Loan will be forgiven.</w:t>
      </w:r>
    </w:p>
    <w:p>
      <w:pPr>
        <w:spacing w:after="0" w:line="172"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At December 31, 2020, the outstanding principal balance of the Loan was $124,000, of which approximately $55,000 is payable in 2021 and approximately $69,000 is payable in 2022 unless otherwise forgiven.</w:t>
      </w:r>
    </w:p>
    <w:p>
      <w:pPr>
        <w:spacing w:after="0" w:line="274" w:lineRule="exact"/>
        <w:rPr>
          <w:sz w:val="20"/>
          <w:szCs w:val="20"/>
          <w:color w:val="auto"/>
        </w:rPr>
      </w:pPr>
    </w:p>
    <w:p>
      <w:pPr>
        <w:ind w:left="120" w:right="3400"/>
        <w:spacing w:after="0" w:line="400" w:lineRule="auto"/>
        <w:rPr>
          <w:sz w:val="20"/>
          <w:szCs w:val="20"/>
          <w:color w:val="auto"/>
        </w:rPr>
      </w:pPr>
      <w:r>
        <w:rPr>
          <w:rFonts w:ascii="Arial" w:cs="Arial" w:eastAsia="Arial" w:hAnsi="Arial"/>
          <w:sz w:val="17"/>
          <w:szCs w:val="17"/>
          <w:b w:val="1"/>
          <w:bCs w:val="1"/>
          <w:color w:val="auto"/>
        </w:rPr>
        <w:t xml:space="preserve">(6) Convertible Preferred Units, Redeemable Common Member Units and Common Member Units </w:t>
      </w:r>
      <w:r>
        <w:rPr>
          <w:rFonts w:ascii="Arial" w:cs="Arial" w:eastAsia="Arial" w:hAnsi="Arial"/>
          <w:sz w:val="17"/>
          <w:szCs w:val="17"/>
          <w:b w:val="1"/>
          <w:bCs w:val="1"/>
          <w:i w:val="1"/>
          <w:iCs w:val="1"/>
          <w:color w:val="auto"/>
        </w:rPr>
        <w:t>Series A convertible preferred units and Series Seed convertible preferred units</w:t>
      </w:r>
    </w:p>
    <w:p>
      <w:pPr>
        <w:ind w:left="120" w:right="200"/>
        <w:spacing w:after="0" w:line="263" w:lineRule="auto"/>
        <w:rPr>
          <w:sz w:val="20"/>
          <w:szCs w:val="20"/>
          <w:color w:val="auto"/>
        </w:rPr>
      </w:pPr>
      <w:r>
        <w:rPr>
          <w:rFonts w:ascii="Arial" w:cs="Arial" w:eastAsia="Arial" w:hAnsi="Arial"/>
          <w:sz w:val="18"/>
          <w:szCs w:val="18"/>
          <w:color w:val="auto"/>
        </w:rPr>
        <w:t>In May 2020, the Company converted $11.7 million of principal and interest related to certain Junior Convertible Notes into 2,615,553 Series Seed Units at prices ranging from $4.28 to $4.56 per unit. In May 2020, the Related Party purchased 8,771 units of Series Seed Units at a price of $5.70 per unit for $50,000.</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Throughout 2020, the Company sold 132,537 Series A Units to the Related Party for $7.168 per unit for proceeds of $1.0 million. The Company also issued 33,129 warrants to purchase common member units at an exercise price of $7.168 to the Series A Unit holder as part of the Series A Unit financing.</w:t>
      </w:r>
    </w:p>
    <w:p>
      <w:pPr>
        <w:spacing w:after="0" w:line="184"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In December 2020, $0.6 million in principal and accrued interest related to the Convertible Bridge Notes were converted into 78,178 Series A Units. The Company also issued 19,544 warrants to purchase common member units at an exercise price of $7.168 to the Series A Unit holder as part of the conversion from Convertible Bridge Notes to Series A Units.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is a summary of the rights, preferences, and terms of the Series A Units and Series Seed Units (collectively, Convertible Preferred Units):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Series A Unit holders shall receive a non-cumulative distribution of 6% per year of the original capital contribution, which shall be payable upon the event of any voluntary or involuntary liquidation, dissolution or winding up of the Company (“Dissolution Event”), or the redemption or repurchase of any Series A. Series Seed does not receive a distribution right.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Upon a Dissolution Event, the holders of units of Series A shall receive the greater of 1.5 times the original issuance price plus any accrued distributions or the amount that such Series A unit holders would receive if the Series A Units were converted to Common Member Units (“Common Member Units”), prior to any distribution with respect to Series Seed Units or Common Member Units.</w:t>
      </w:r>
    </w:p>
    <w:p>
      <w:pPr>
        <w:spacing w:after="0" w:line="18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After amounts paid out to the Series A Unit holders upon a Dissolution Event, the Series Seed Units then outstanding shall be entitled to be paid out in accordance with the positive balance in their capital accounts with respect to their Series Seed Units, after giving effect to all contributions, distributions and allocations with respect to such Series Seed units for all periods, before any payment shall be made to the holders of Common Member Units.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Each Convertible Preferred Unit is convertible, at the option of the holder thereof, at any time, and without the payment of additional consideration, into a number of fully paid and nonassessable Common Member Units as determined by dividing the original issue price for the Convertible Preferred Unit by the conversion price for the Convertible Preferred Unit in effect at the time of conversion, except as otherwise defined in the Operating Agreement (the “Operating Agreement”). Notwithstanding the foregoing, in the event of a liquidation, dissolution, or winding up of the Company or acquisition of the majority of the Company’s assets, the Series Seed Unit conversion right will terminate at the close of business on the last full day preceding the date fixed for the first payment of any funds and assets distributable on such event to the Members holding Series Seed Units. No fractional Common Member Units will be issued upon conversion of the Convertible Preferred Unit. In lieu of any fractional units, the Company shall pay cash equal to such fraction multiplied by the fair market value of a Common Member Unit as determined in good faith by the Management Committee of the Company.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 connection with the Company’s issuance of Series A Units, the Company’s Management Committee shall be reconstituted so as to be comprised on five members, including one member appointed by a majority of the Series A unit holders, one member appointed by a majority of the Series Seed unit holders, two independent members and the Company’s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Due to certain deemed liquidation events that are outside of the control of the Company, the Series A Units and Series Seed Units are contingently redeemable and presented as temporary equity in the accompanying consolidated balance sheets.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Common Member Units and Common Member Units</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Pursuant to the Operating Agreement filed in May 2015, as amended, the Company is authorized to issue a total of 30,000,000 Series A Units, Series Seed Units, and Common Member Units. Series Seed Unit and Common Member Unit holders do not have the power to take part in the direct management of the Company and have limited voting rights.</w:t>
      </w:r>
    </w:p>
    <w:p>
      <w:pPr>
        <w:spacing w:after="0" w:line="18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connection with entering into a patent license agreement with Drexel University (Note 8), the Company issued 16,666 common member units during 2015 that include a put option right whereby Drexel may, at their option, request the Company repurchase the common member units held by Drexel upon the earlier of (i) several triggering events associated with insolvency and bankruptcy matters of the Company and (ii) the tenth anniversary of the original issuance of common units to Drexel. Redemption, if elected by Drexel, is equal to the estimated fair value of common member units at the time of redemption. The shares held by Drexel are classified as temporary equity and presented outside of member’s deficit within the accompanying consolidated balance sheets. Changes in redemption value are recognized at each reporting period and based upon the estimated fair value of the redeemable common member units held by Drexel.</w:t>
      </w:r>
    </w:p>
    <w:p>
      <w:pPr>
        <w:spacing w:after="0" w:line="17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During the years ended December 31, 2019 and 2020, the Company issued 23,841 and 7,512 Common Member Units, respectively, to members of the board of managers as compensation for their services. The Company recorded unit-based compensation expense of $0.1 million and $0.3 million in research and development and general and administrative expense, respectively, during the year ended December 31, 2019. The Company recorded unit-based compensation expense of $0.1 million in general and administrative expense during the year ended December 31,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for Common Member Units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Since inception, the Company has granted warrants to purchase Common Member Units at various dates. At December 31, 2020, the Company had the following warrants outstanding to acquire Common Member Units: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6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2300" w:type="dxa"/>
            <w:vAlign w:val="bottom"/>
            <w:gridSpan w:val="2"/>
          </w:tcPr>
          <w:p>
            <w:pPr>
              <w:ind w:left="600"/>
              <w:spacing w:after="0"/>
              <w:rPr>
                <w:sz w:val="20"/>
                <w:szCs w:val="20"/>
                <w:color w:val="auto"/>
              </w:rPr>
            </w:pPr>
            <w:r>
              <w:rPr>
                <w:rFonts w:ascii="Arial" w:cs="Arial" w:eastAsia="Arial" w:hAnsi="Arial"/>
                <w:sz w:val="14"/>
                <w:szCs w:val="14"/>
                <w:b w:val="1"/>
                <w:bCs w:val="1"/>
                <w:color w:val="auto"/>
              </w:rPr>
              <w:t>Expiration dates</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in 2016 and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2036 to December 2037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Issued in 2018 and 2019</w:t>
            </w:r>
          </w:p>
        </w:tc>
        <w:tc>
          <w:tcPr>
            <w:tcW w:w="780" w:type="dxa"/>
            <w:vAlign w:val="bottom"/>
          </w:tcPr>
          <w:p>
            <w:pPr>
              <w:jc w:val="right"/>
              <w:spacing w:after="0"/>
              <w:rPr>
                <w:sz w:val="20"/>
                <w:szCs w:val="20"/>
                <w:color w:val="auto"/>
              </w:rPr>
            </w:pPr>
            <w:r>
              <w:rPr>
                <w:rFonts w:ascii="Arial" w:cs="Arial" w:eastAsia="Arial" w:hAnsi="Arial"/>
                <w:sz w:val="18"/>
                <w:szCs w:val="18"/>
                <w:color w:val="auto"/>
              </w:rPr>
              <w:t>87,716</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600" w:type="dxa"/>
            <w:vAlign w:val="bottom"/>
          </w:tcPr>
          <w:p>
            <w:pPr>
              <w:spacing w:after="0"/>
              <w:rPr>
                <w:sz w:val="18"/>
                <w:szCs w:val="18"/>
                <w:color w:val="auto"/>
              </w:rPr>
            </w:pPr>
          </w:p>
        </w:tc>
        <w:tc>
          <w:tcPr>
            <w:tcW w:w="23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March 2038 to October 2039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Issued in 2019 to Related Party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6"/>
              </w:rPr>
              <w:t>April 2039</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Issued as part of Series A to Related Party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52,680</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600" w:type="dxa"/>
            <w:vAlign w:val="bottom"/>
          </w:tcPr>
          <w:p>
            <w:pPr>
              <w:spacing w:after="0"/>
              <w:rPr>
                <w:sz w:val="19"/>
                <w:szCs w:val="19"/>
                <w:color w:val="auto"/>
              </w:rPr>
            </w:pPr>
          </w:p>
        </w:tc>
        <w:tc>
          <w:tcPr>
            <w:tcW w:w="230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December 2025</w:t>
            </w:r>
          </w:p>
        </w:tc>
      </w:tr>
      <w:tr>
        <w:trPr>
          <w:trHeight w:val="216"/>
        </w:trPr>
        <w:tc>
          <w:tcPr>
            <w:tcW w:w="40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160,108</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120" w:right="340"/>
        <w:spacing w:after="0" w:line="296" w:lineRule="auto"/>
        <w:rPr>
          <w:sz w:val="20"/>
          <w:szCs w:val="20"/>
          <w:color w:val="auto"/>
        </w:rPr>
      </w:pPr>
      <w:r>
        <w:rPr>
          <w:rFonts w:ascii="Arial" w:cs="Arial" w:eastAsia="Arial" w:hAnsi="Arial"/>
          <w:sz w:val="16"/>
          <w:szCs w:val="16"/>
          <w:color w:val="auto"/>
        </w:rPr>
        <w:t>In June 2021, the Company effected a one-for-6 reverse stock split of its common stock and convertible preferred stock. No fractional shares were issued in connection with the reverse stock split. Any fractional share resulting from the reverse stock split was rounded down to the nearest whole share, and in lieu of any fractional shares, the Company will pay in cash to the holders of such fractional shares an amount equal to the fair value, as determined by the board of directors, of such fractional shares. All common stock, convertible preferred stock, per share and related information presented in the consolidated financial statements and accompanying notes have been retroactively adjusted to reflect the reverse stock split.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Unit-based Compensation</w:t>
      </w:r>
    </w:p>
    <w:p>
      <w:pPr>
        <w:spacing w:after="0" w:line="12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Company’s 2015 Equity Incentive Plan (the “2015 Plan”) authorizes the board of managers or a committee of the board of managers to grant options to acquire Common Member Units (“unit-based awards”), to eligible employees, outside directors and consultants of the Company. The 2015 Plan reserves 166,666 units for issuance. As of December 31, 2020, 141,836 units remained available for future grants.</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Unit-based awards generally vest over a period of one to three years, and units-based awards that lapse or are forfeited are available to be granted again. The contractual life of all unit-based awards is ten years. The expiration dates of the outstanding unit-based awards range from January 2028 to May 2030.</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measures unit-based awards at their grant-date fair value and records compensation expense on a straight-line basis over the service period of the awards. Unit-based compensation is allocated to employees and consultants based on their respective departments. All board of directors’ compensation is charged to general and administrative expense.</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recorded unit-based compensation expense of $29,000 and $16,000 in research and development and general and administrative expense, respectively, during the year ended December 31, 2019. The Company recorded unit-based compensation expense of $75,000 and $29,000 in research and development and general and administrative expense, respectively, during the year ended December 31, 2020.</w:t>
      </w:r>
    </w:p>
    <w:p>
      <w:pPr>
        <w:spacing w:after="0" w:line="1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unit-based awards granted to employees during 2020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97.86%</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Risk free rate</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0.51%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5.44</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Dividend</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units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97"/>
              </w:rPr>
              <w:t>13.55</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80" w:type="dxa"/>
            <w:vAlign w:val="bottom"/>
            <w:gridSpan w:val="6"/>
          </w:tcPr>
          <w:p>
            <w:pPr>
              <w:spacing w:after="0"/>
              <w:rPr>
                <w:sz w:val="20"/>
                <w:szCs w:val="20"/>
                <w:color w:val="auto"/>
              </w:rPr>
            </w:pPr>
            <w:r>
              <w:rPr>
                <w:rFonts w:ascii="Arial" w:cs="Arial" w:eastAsia="Arial" w:hAnsi="Arial"/>
                <w:sz w:val="18"/>
                <w:szCs w:val="18"/>
                <w:color w:val="auto"/>
                <w:w w:val="95"/>
              </w:rPr>
              <w:t>The following table summarizes the unit-based award activity for the periods presented: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Number of Units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Per</w:t>
            </w:r>
          </w:p>
        </w:tc>
        <w:tc>
          <w:tcPr>
            <w:tcW w:w="1560" w:type="dxa"/>
            <w:vAlign w:val="bottom"/>
            <w:gridSpan w:val="5"/>
          </w:tcPr>
          <w:p>
            <w:pPr>
              <w:jc w:val="right"/>
              <w:ind w:right="80"/>
              <w:spacing w:after="0" w:line="149" w:lineRule="exact"/>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Unit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14,416</w:t>
            </w:r>
          </w:p>
        </w:tc>
        <w:tc>
          <w:tcPr>
            <w:tcW w:w="4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15.79</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4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880"/>
              <w:spacing w:after="0"/>
              <w:rPr>
                <w:sz w:val="20"/>
                <w:szCs w:val="20"/>
                <w:color w:val="auto"/>
              </w:rPr>
            </w:pPr>
            <w:r>
              <w:rPr>
                <w:rFonts w:ascii="Arial" w:cs="Arial" w:eastAsia="Arial" w:hAnsi="Arial"/>
                <w:sz w:val="18"/>
                <w:szCs w:val="18"/>
                <w:color w:val="auto"/>
              </w:rPr>
              <w:t>Exercisable at December 31, 2020</w:t>
            </w:r>
          </w:p>
        </w:tc>
        <w:tc>
          <w:tcPr>
            <w:tcW w:w="5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15,724</w:t>
            </w:r>
          </w:p>
        </w:tc>
        <w:tc>
          <w:tcPr>
            <w:tcW w:w="4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18.37</w:t>
            </w:r>
          </w:p>
        </w:tc>
        <w:tc>
          <w:tcPr>
            <w:tcW w:w="40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Vested and expected to vest at December 31,</w:t>
            </w: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9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24,830</w:t>
            </w:r>
          </w:p>
        </w:tc>
        <w:tc>
          <w:tcPr>
            <w:tcW w:w="4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400" w:type="dxa"/>
            <w:vAlign w:val="bottom"/>
            <w:shd w:val="clear" w:color="auto" w:fill="CCEEFF"/>
          </w:tcPr>
          <w:p>
            <w:pPr>
              <w:spacing w:after="0"/>
              <w:rPr>
                <w:sz w:val="20"/>
                <w:szCs w:val="20"/>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weighted average fair value of unit-based awards granted during the year ended December 31, 2020 was $9.34. No options were granted in 2019. As of December 31, 2020, the unrecognized compensation cost related to outstanding unit-based awards was $0.1 million and is expected to be recognized as expense over a weighted-average period of approximately 1.17 years.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Member Units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issues restricted member units (“RMU”) to employees and consultants that generally vest monthly over one to three-year periods. The fair value of an RMU is equal to the fair market value price of the Company’s Common Member Unit on the date of grant. RMU expense is amortized straight-line over the service period.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activity related to RMU unit-based payment awards: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RMUs</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January 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Vested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20,336</w:t>
            </w:r>
          </w:p>
        </w:tc>
        <w:tc>
          <w:tcPr>
            <w:tcW w:w="400" w:type="dxa"/>
            <w:vAlign w:val="bottom"/>
            <w:gridSpan w:val="2"/>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2019</w:t>
            </w:r>
          </w:p>
        </w:tc>
        <w:tc>
          <w:tcPr>
            <w:tcW w:w="1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132</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Unvested balance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recorded unit-based compensation expense of $0.3 million and $1,800 in general and administrative expense for the years ended December 31, 2019 and 2020, respectively, related to RMUs. As of December 31, 2020, the total unrecognized expense related to all RMUs was $400, which the Company expects to recognize over a weighted-average period of 0.25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License Agreement with Drexel University</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November 2015, the Company entered into a patent license agreement, as amended, (the “Drexel License Agreement”) with Drexel for license rights to patents for certain intellectual property and know-how related to certain technology.</w:t>
      </w:r>
    </w:p>
    <w:p>
      <w:pPr>
        <w:spacing w:after="0" w:line="170"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As part of the Drexel License Agreement, the Company issued Drexel 16,666 Common Member Units. In partial consideration of the Drexel License Agreement, the Company is required to pay to Drexel certain milestone payments, ranging from $10,000 to $0.2 million on the achievement of certain milestone events for each licensed product.</w:t>
      </w:r>
    </w:p>
    <w:p>
      <w:pPr>
        <w:spacing w:after="0" w:line="184"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Company has agreed to pay Drexel a royalty in the low single digits of net sales for each licensed product on a country-by-country, licensed product-by-licensed product basis on issued or pending valid claims. The Company may credit against amounts payable to Drexel, on a country-by-country, licensed product-by-licensed product basis up to 50% of any third-party payments which the Company must make on account of third-party license agreements.</w:t>
      </w:r>
    </w:p>
    <w:p>
      <w:pPr>
        <w:spacing w:after="0" w:line="18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In partial consideration of the Drexel License Agreement, the Company will pay to Drexel a de-escalating sublicense fee on a quarterly basis of a high single-digit percentage that decreases to a mid-single digit percentage as time passes. In addition, the Company will make payments of the fair market value of all other consideration received by the Company from sublicensees during the quarter, other than: (a) royalties paid to the Company by a sublicensee based upon sales or net sales by the sublicensee; (b) equity investments in the Company by a sublicensee up to the amount of fair market value of the equity purchased on the date of the investment; (c) loan proceeds paid to the Company by a sublicensee in an arm’s length, full recourse debt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financing to the extent that such loan is not forgiven; and (d) sponsored research funding, paid to the Company by a sublicensee in a bona fide transaction for future research to be performed by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Agreement with Tyligand Bioscience</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March 2020, the Company entered into a license (the “Tyligand License Agreement”) and process development agreement (the “Tyligand Process Development Agreement”) (collectively, the “Tyligand Agreements”) with Tyligand Bioscience (“Tyligand”) for the development, manufacturing, registration and future commercialization of onapristone extended release (“ONA-XR”).</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terms of the Tyligand Agreements, Tyligand will be solely responsible for the design and optimization of an improved manufacturing process for ONA-XR. Upon completion of specific performance-based milestones, Tyligand will be granted the exclusive right to ONA-XR and will be solely responsible for the development and commercialization of ONA-XR in China, Hong Kong and Macau (the “Territory”). The Company will retain rest of world rights to commercialize ONA-XR.</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Under the Tyligand Process Development Agreement, the Company is obligated to pay Tyligand $0.8 million and a certain number of warrants exercisable for common stock upon successful completion of the manufacturing development plan, $2.0 million upon the completion of scale-up of the first cumulative 100 kilograms of the GMP-grade compound and $3.0 million upon the Company’s completion of scale-up of the first cumulative 300 kilograms of the GMP-grade compound. In consideration of and upon Tyligand’s successful completion of the development plan, within thirty days at the end of each calendar quarter, the Company shall pay Tyligand 1% of net sales of finished product utilizing the compound substantially manufactured in accordance with the process and specifications outlined in the Tyligand Process Development Agreement.</w:t>
      </w:r>
    </w:p>
    <w:p>
      <w:pPr>
        <w:spacing w:after="0" w:line="17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Per the Tyligand License Agreement, Tyligand shall pay the Company a non-refundable, non-creditable royalty at a rate in the mid-single digits of the net sales of each product in the Territory in each calendar quarter commencing with the first commercial sale of such product in the field in the Territory and ending upon the latest of (i) the sale of a generic product in the territory and (ii) fifteen years after the date of the first commercial sale of product in the territory.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The Company leases its corporate offices in Philadelphia, Pennsylvania under a month-to-month lease arrangement. The Company recorded rent expense of approximately $44,000 and $10,000 for the years ended December 31, 2019 and 2020, respectively.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Liabilities for loss contingencies arising from claims, assessments, litigations, fines, penalties, and other sources are recorded when it is probable that a liability has been incurred and the amount can be reasonably estimated. The Company believes no matters exist at either December 31, 2019 or 2020 that will have a material impact to the Company’s financial position, results of operations or cash flows.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3,072,704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3,199,412</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326,551</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36,967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43,526</w:t>
            </w:r>
          </w:p>
        </w:tc>
      </w:tr>
      <w:tr>
        <w:trPr>
          <w:trHeight w:val="27"/>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3,355,205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3,569,489</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(3,355,205)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(3,569,489)</w:t>
            </w:r>
          </w:p>
        </w:tc>
      </w:tr>
      <w:tr>
        <w:trPr>
          <w:trHeight w:val="27"/>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2019 and 2020. The valuation allowance increased by $869,175 and $214,979 during the years ended December 31, 2019 and 2020, respectively.</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3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Federal tax expense/(benefit) at statutory rate</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(6.4)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Non-taxable partnership income</w:t>
            </w:r>
          </w:p>
        </w:tc>
        <w:tc>
          <w:tcPr>
            <w:tcW w:w="15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15.4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Permanent differences</w:t>
            </w: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13.7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r>
      <w:tr>
        <w:trPr>
          <w:trHeight w:val="27"/>
        </w:trPr>
        <w:tc>
          <w:tcPr>
            <w:tcW w:w="6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r>
      <w:tr>
        <w:trPr>
          <w:trHeight w:val="20"/>
        </w:trPr>
        <w:tc>
          <w:tcPr>
            <w:tcW w:w="6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carryforwards of federal, state and local net operating losses (“NOL”) and research tax credits: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4"/>
                <w:szCs w:val="14"/>
                <w:color w:val="auto"/>
              </w:rPr>
            </w:pPr>
          </w:p>
        </w:tc>
        <w:tc>
          <w:tcPr>
            <w:tcW w:w="2480" w:type="dxa"/>
            <w:vAlign w:val="bottom"/>
            <w:gridSpan w:val="5"/>
          </w:tcPr>
          <w:p>
            <w:pPr>
              <w:ind w:lef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 carryforwards—Federal</w:t>
            </w:r>
          </w:p>
        </w:tc>
        <w:tc>
          <w:tcPr>
            <w:tcW w:w="18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$ 6,599,499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$ 8,030,123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NOL carryforwards—State</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color w:val="auto"/>
              </w:rPr>
              <w:t>6,599,499</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8,030,123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carryforwards—Local</w:t>
            </w:r>
          </w:p>
        </w:tc>
        <w:tc>
          <w:tcPr>
            <w:tcW w:w="3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20,398,658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15,399,777</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Research tax credits—Federal</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color w:val="auto"/>
              </w:rPr>
              <w:t>245,534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326,551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The NOL carryforwards begin expiring in 2037 for federal and state income tax purposes, however; all federal NOL carryforwards generated subsequent to January 1, 2018, are able to be carried forward indefinitely. Local NOL carryforwards expire after 3 years with the 2018 NOL set to expire in 2021. As of December 31, 2019 and 2020 the Company had federal research and development tax credit carryforwards of $245,534 and $326,551, respectively that will begin to expire in 2037, unless previously utilized.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State and local NOLs may also be limited.</w:t>
      </w:r>
    </w:p>
    <w:p>
      <w:pPr>
        <w:spacing w:after="0" w:line="17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As of December 31, 2019 and 2020, the Company had no accrued interest or penalties related to uncertain tax positions and no amounts have been recognized in the Company’s consolidated statement of operations. Due to NOLs and tax credit carry forwards that remain unutilized, income tax returns for tax years from all years remain subject to examination by the taxing jurisdictions. The NOL carryforwards remain subject to review until utilized.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Since inception through December 31, 2020, the Company entered into various convertible note agreements with the Related Party. The terms of the convertible notes and their subsequent conversions are further described in more detail in Note 5 and Note 6.</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preparing the consolidated financial statements as of and for the year ended December 31, 2020, the Company evaluated subsequent events for recognition and measurement purposes through March 19, 2021, the date that the Report of independent registered public accounting firm was originally issued, and the audited annual consolidated financial statements were available for issuance. The Company has concluded that no events or transactions have occurred that require disclosure in the accompanying consolidated financial statements other than those listed below.</w:t>
      </w:r>
    </w:p>
    <w:p>
      <w:pPr>
        <w:spacing w:after="0" w:line="17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During February 2021 and March 2021, the Company raised $2.8 million of gross proceeds from the sale of 389,947 Series A Units and 97,478 warrants to purchase common member units at an exercise price of $7.168 to the Series A Unit holders as part of the Series A Unit financing. In addition, Senior Convertible Notes with a principal balance of $5.7 million and accrued interest of $0.3 million converted into 844,824 Series A Units in February 2021.</w:t>
      </w:r>
    </w:p>
    <w:p>
      <w:pPr>
        <w:spacing w:after="0" w:line="14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April 2021, the Company completed a reverse triangular merger, resulting in Context Therapeutics Inc becoming the sole holder of 100% of the membership interests in Context Therapeutics LLC, which resulted in all of the common units, preferred units and all options, warrants or other rights to purchase common or preferred units of Context Therapeutics LLC converting into common stock, preferred stock and all options, warrants or other rights to purchase common or preferred stock of Context Therapeutics Inc. As a result of the reverse triangular merger, the total number of shares of stock that the Company has authority to issue is 110,000,000 shares, of which 100,000,000 shares are Common Stock, $0.001 par value per share, and 10,000,000 shares are Undesignated Preferred Stock, $0.001 par value per share.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(Note 2)</w:t>
            </w:r>
          </w:p>
        </w:tc>
        <w:tc>
          <w:tcPr>
            <w:tcW w:w="80" w:type="dxa"/>
            <w:vAlign w:val="bottom"/>
          </w:tcPr>
          <w:p>
            <w:pPr>
              <w:spacing w:after="0"/>
              <w:rPr>
                <w:sz w:val="14"/>
                <w:szCs w:val="14"/>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341,037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1,660,312</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10,418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349,709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1,670,730</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Deferred offering costs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117,631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580,723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467,340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2,251,453</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Redeemable Common Member Units and Members’</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180"/>
              <w:spacing w:after="0"/>
              <w:rPr>
                <w:sz w:val="20"/>
                <w:szCs w:val="20"/>
                <w:color w:val="auto"/>
              </w:rPr>
            </w:pPr>
            <w:r>
              <w:rPr>
                <w:rFonts w:ascii="Arial" w:cs="Arial" w:eastAsia="Arial" w:hAnsi="Arial"/>
                <w:sz w:val="18"/>
                <w:szCs w:val="18"/>
                <w:b w:val="1"/>
                <w:bCs w:val="1"/>
                <w:color w:val="auto"/>
              </w:rPr>
              <w:t>Deficit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Convertible promissory notes</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5,829,292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payable—current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55,014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96,399</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2,707,861</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1,888,216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955,989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1,354,759</w:t>
            </w:r>
          </w:p>
        </w:tc>
        <w:tc>
          <w:tcPr>
            <w:tcW w:w="0" w:type="dxa"/>
            <w:vAlign w:val="bottom"/>
          </w:tcPr>
          <w:p>
            <w:pPr>
              <w:spacing w:after="0"/>
              <w:rPr>
                <w:sz w:val="1"/>
                <w:szCs w:val="1"/>
                <w:color w:val="auto"/>
              </w:rPr>
            </w:pPr>
          </w:p>
        </w:tc>
      </w:tr>
      <w:tr>
        <w:trPr>
          <w:trHeight w:val="223"/>
        </w:trPr>
        <w:tc>
          <w:tcPr>
            <w:tcW w:w="78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9,548,156</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3,339,374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Note payable—noncurrent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69,040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30"/>
        </w:trPr>
        <w:tc>
          <w:tcPr>
            <w:tcW w:w="78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9,617,196</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spacing w:after="0" w:line="201" w:lineRule="exact"/>
              <w:rPr>
                <w:sz w:val="20"/>
                <w:szCs w:val="20"/>
                <w:color w:val="auto"/>
              </w:rPr>
            </w:pPr>
            <w:r>
              <w:rPr>
                <w:rFonts w:ascii="Arial" w:cs="Arial" w:eastAsia="Arial" w:hAnsi="Arial"/>
                <w:sz w:val="18"/>
                <w:szCs w:val="18"/>
                <w:color w:val="auto"/>
              </w:rPr>
              <w:t>Unit equity, inclusive of convertible preferred units and common member units, $0.0001 par value,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30,000,000 shares authorized</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units and redeemable common member units: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360"/>
              <w:spacing w:after="0" w:line="201" w:lineRule="exact"/>
              <w:rPr>
                <w:sz w:val="20"/>
                <w:szCs w:val="20"/>
                <w:color w:val="auto"/>
              </w:rPr>
            </w:pPr>
            <w:r>
              <w:rPr>
                <w:rFonts w:ascii="Arial" w:cs="Arial" w:eastAsia="Arial" w:hAnsi="Arial"/>
                <w:sz w:val="18"/>
                <w:szCs w:val="18"/>
                <w:color w:val="auto"/>
                <w:w w:val="93"/>
              </w:rPr>
              <w:t>Series A preferred units, 210,715 and 1,508,633 issued and outstanding at December 31, 2020 and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40"/>
              <w:spacing w:after="0"/>
              <w:rPr>
                <w:sz w:val="20"/>
                <w:szCs w:val="20"/>
                <w:color w:val="auto"/>
              </w:rPr>
            </w:pPr>
            <w:r>
              <w:rPr>
                <w:rFonts w:ascii="Arial" w:cs="Arial" w:eastAsia="Arial" w:hAnsi="Arial"/>
                <w:sz w:val="18"/>
                <w:szCs w:val="18"/>
                <w:color w:val="auto"/>
                <w:w w:val="99"/>
              </w:rPr>
              <w:t>March 31, 2021, respectively (liquidation value of $1,510,342 and $4,757,942, respectively)</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1,400,935</w:t>
            </w:r>
          </w:p>
        </w:tc>
        <w:tc>
          <w:tcPr>
            <w:tcW w:w="8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9,992,208</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Seed preferred units, 2,624,324 issued and outstanding at December 31, 2020 and March 31,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2021 (liquidation value of $11,796,713)</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6,341,288</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6,341,288</w:t>
            </w:r>
          </w:p>
        </w:tc>
        <w:tc>
          <w:tcPr>
            <w:tcW w:w="0" w:type="dxa"/>
            <w:vAlign w:val="bottom"/>
          </w:tcPr>
          <w:p>
            <w:pPr>
              <w:spacing w:after="0"/>
              <w:rPr>
                <w:sz w:val="1"/>
                <w:szCs w:val="1"/>
                <w:color w:val="auto"/>
              </w:rPr>
            </w:pPr>
          </w:p>
        </w:tc>
      </w:tr>
      <w:tr>
        <w:trPr>
          <w:trHeight w:val="202"/>
        </w:trPr>
        <w:tc>
          <w:tcPr>
            <w:tcW w:w="7820" w:type="dxa"/>
            <w:vAlign w:val="bottom"/>
          </w:tcPr>
          <w:p>
            <w:pPr>
              <w:ind w:left="360"/>
              <w:spacing w:after="0" w:line="201" w:lineRule="exact"/>
              <w:rPr>
                <w:sz w:val="20"/>
                <w:szCs w:val="20"/>
                <w:color w:val="auto"/>
              </w:rPr>
            </w:pPr>
            <w:r>
              <w:rPr>
                <w:rFonts w:ascii="Arial" w:cs="Arial" w:eastAsia="Arial" w:hAnsi="Arial"/>
                <w:sz w:val="18"/>
                <w:szCs w:val="18"/>
                <w:color w:val="auto"/>
                <w:w w:val="97"/>
              </w:rPr>
              <w:t>Redeemable common member units, 16,666 issued and outstanding at December 31, 2020 and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40"/>
              <w:spacing w:after="0"/>
              <w:rPr>
                <w:sz w:val="20"/>
                <w:szCs w:val="20"/>
                <w:color w:val="auto"/>
              </w:rPr>
            </w:pPr>
            <w:r>
              <w:rPr>
                <w:rFonts w:ascii="Arial" w:cs="Arial" w:eastAsia="Arial" w:hAnsi="Arial"/>
                <w:sz w:val="18"/>
                <w:szCs w:val="18"/>
                <w:color w:val="auto"/>
              </w:rPr>
              <w:t>March 31, 2021, respectively</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29,000</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convertible preferred units and redeemable common member units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7,771,223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16,362,496</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Members’ deficit:</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member units, 331,789 and 336,007 issued and outstanding at December 31, 2020 and</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March 31, 2021, respectively</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1,876,458</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2,211,514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(18,797,570)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(19,689,619)</w:t>
            </w:r>
          </w:p>
        </w:tc>
        <w:tc>
          <w:tcPr>
            <w:tcW w:w="0" w:type="dxa"/>
            <w:vAlign w:val="bottom"/>
          </w:tcPr>
          <w:p>
            <w:pPr>
              <w:spacing w:after="0"/>
              <w:rPr>
                <w:sz w:val="1"/>
                <w:szCs w:val="1"/>
                <w:color w:val="auto"/>
              </w:rPr>
            </w:pPr>
          </w:p>
        </w:tc>
      </w:tr>
      <w:tr>
        <w:trPr>
          <w:trHeight w:val="230"/>
        </w:trPr>
        <w:tc>
          <w:tcPr>
            <w:tcW w:w="782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(16,921,079)</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(17,478,072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5"/>
              </w:rPr>
              <w:t>Total liabilities, convertible preferred units, redeemable common member units and members’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deficit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467,340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2,251,453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211,758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438,739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288,210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(499,968)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(840,318)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(316,076)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(62,985)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Change in fair value of convertible promissory notes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1,642,524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(892,049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 forma C Corporation information (unaudited) (Note 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Historical loss from operations before income taxes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(892,049)</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 forma provision (benefit) for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(838,381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 (unaudited)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color w:val="auto"/>
              </w:rPr>
              <w:t>Pro forma weighted average common shares outstanding, basic and diluted (unaudited)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4,361,620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Condensed Consolidated Statements of Changes in Convertible Preferred Units, Redeemable Common Member Units and Members’ Deficit</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Borders>
              <w:right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Redeemable</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60" w:type="dxa"/>
            <w:vAlign w:val="bottom"/>
            <w:gridSpan w:val="4"/>
          </w:tcPr>
          <w:p>
            <w:pPr>
              <w:ind w:left="540"/>
              <w:spacing w:after="0" w:line="122" w:lineRule="exact"/>
              <w:rPr>
                <w:sz w:val="20"/>
                <w:szCs w:val="20"/>
                <w:color w:val="auto"/>
              </w:rPr>
            </w:pPr>
            <w:r>
              <w:rPr>
                <w:rFonts w:ascii="Arial" w:cs="Arial" w:eastAsia="Arial" w:hAnsi="Arial"/>
                <w:sz w:val="11"/>
                <w:szCs w:val="11"/>
                <w:b w:val="1"/>
                <w:bCs w:val="1"/>
                <w:color w:val="auto"/>
              </w:rPr>
              <w:t>Series A</w:t>
            </w:r>
          </w:p>
        </w:tc>
        <w:tc>
          <w:tcPr>
            <w:tcW w:w="1600" w:type="dxa"/>
            <w:vAlign w:val="bottom"/>
            <w:gridSpan w:val="5"/>
          </w:tcPr>
          <w:p>
            <w:pPr>
              <w:ind w:left="460"/>
              <w:spacing w:after="0" w:line="122" w:lineRule="exact"/>
              <w:rPr>
                <w:sz w:val="20"/>
                <w:szCs w:val="20"/>
                <w:color w:val="auto"/>
              </w:rPr>
            </w:pPr>
            <w:r>
              <w:rPr>
                <w:rFonts w:ascii="Arial" w:cs="Arial" w:eastAsia="Arial" w:hAnsi="Arial"/>
                <w:sz w:val="11"/>
                <w:szCs w:val="11"/>
                <w:b w:val="1"/>
                <w:bCs w:val="1"/>
                <w:color w:val="auto"/>
              </w:rPr>
              <w:t>Series Seed</w:t>
            </w:r>
          </w:p>
        </w:tc>
        <w:tc>
          <w:tcPr>
            <w:tcW w:w="1460" w:type="dxa"/>
            <w:vAlign w:val="bottom"/>
            <w:tcBorders>
              <w:right w:val="single" w:sz="8" w:color="auto"/>
            </w:tcBorders>
            <w:gridSpan w:val="5"/>
          </w:tcPr>
          <w:p>
            <w:pPr>
              <w:ind w:left="360"/>
              <w:spacing w:after="0" w:line="122" w:lineRule="exact"/>
              <w:rPr>
                <w:sz w:val="20"/>
                <w:szCs w:val="20"/>
                <w:color w:val="auto"/>
              </w:rPr>
            </w:pPr>
            <w:r>
              <w:rPr>
                <w:rFonts w:ascii="Arial" w:cs="Arial" w:eastAsia="Arial" w:hAnsi="Arial"/>
                <w:sz w:val="11"/>
                <w:szCs w:val="11"/>
                <w:b w:val="1"/>
                <w:bCs w:val="1"/>
                <w:color w:val="auto"/>
              </w:rPr>
              <w:t>Common</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660" w:type="dxa"/>
            <w:vAlign w:val="bottom"/>
            <w:gridSpan w:val="4"/>
          </w:tcPr>
          <w:p>
            <w:pPr>
              <w:ind w:left="360"/>
              <w:spacing w:after="0"/>
              <w:rPr>
                <w:sz w:val="20"/>
                <w:szCs w:val="20"/>
                <w:color w:val="auto"/>
              </w:rPr>
            </w:pPr>
            <w:r>
              <w:rPr>
                <w:rFonts w:ascii="Arial" w:cs="Arial" w:eastAsia="Arial" w:hAnsi="Arial"/>
                <w:sz w:val="11"/>
                <w:szCs w:val="11"/>
                <w:b w:val="1"/>
                <w:bCs w:val="1"/>
                <w:color w:val="auto"/>
              </w:rPr>
              <w:t>Preferred Units</w:t>
            </w:r>
          </w:p>
        </w:tc>
        <w:tc>
          <w:tcPr>
            <w:tcW w:w="1600" w:type="dxa"/>
            <w:vAlign w:val="bottom"/>
            <w:gridSpan w:val="5"/>
          </w:tcPr>
          <w:p>
            <w:pPr>
              <w:ind w:left="360"/>
              <w:spacing w:after="0"/>
              <w:rPr>
                <w:sz w:val="20"/>
                <w:szCs w:val="20"/>
                <w:color w:val="auto"/>
              </w:rPr>
            </w:pPr>
            <w:r>
              <w:rPr>
                <w:rFonts w:ascii="Arial" w:cs="Arial" w:eastAsia="Arial" w:hAnsi="Arial"/>
                <w:sz w:val="11"/>
                <w:szCs w:val="11"/>
                <w:b w:val="1"/>
                <w:bCs w:val="1"/>
                <w:color w:val="auto"/>
              </w:rPr>
              <w:t>Preferred Units</w:t>
            </w:r>
          </w:p>
        </w:tc>
        <w:tc>
          <w:tcPr>
            <w:tcW w:w="1460" w:type="dxa"/>
            <w:vAlign w:val="bottom"/>
            <w:tcBorders>
              <w:right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rPr>
              <w:t>Member Units</w:t>
            </w:r>
          </w:p>
        </w:tc>
        <w:tc>
          <w:tcPr>
            <w:tcW w:w="80" w:type="dxa"/>
            <w:vAlign w:val="bottom"/>
          </w:tcPr>
          <w:p>
            <w:pPr>
              <w:spacing w:after="0"/>
              <w:rPr>
                <w:sz w:val="11"/>
                <w:szCs w:val="11"/>
                <w:color w:val="auto"/>
              </w:rPr>
            </w:pPr>
          </w:p>
        </w:tc>
        <w:tc>
          <w:tcPr>
            <w:tcW w:w="1360" w:type="dxa"/>
            <w:vAlign w:val="bottom"/>
            <w:gridSpan w:val="6"/>
          </w:tcPr>
          <w:p>
            <w:pPr>
              <w:jc w:val="right"/>
              <w:ind w:right="200"/>
              <w:spacing w:after="0"/>
              <w:rPr>
                <w:sz w:val="20"/>
                <w:szCs w:val="20"/>
                <w:color w:val="auto"/>
              </w:rPr>
            </w:pPr>
            <w:r>
              <w:rPr>
                <w:rFonts w:ascii="Arial" w:cs="Arial" w:eastAsia="Arial" w:hAnsi="Arial"/>
                <w:sz w:val="11"/>
                <w:szCs w:val="11"/>
                <w:b w:val="1"/>
                <w:bCs w:val="1"/>
                <w:color w:val="auto"/>
                <w:w w:val="92"/>
              </w:rPr>
              <w:t>Common Member Units</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8"/>
              </w:rPr>
              <w:t>Accumulated</w:t>
            </w:r>
          </w:p>
        </w:tc>
        <w:tc>
          <w:tcPr>
            <w:tcW w:w="9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6"/>
              </w:rPr>
              <w:t>Total Members’</w:t>
            </w:r>
          </w:p>
        </w:tc>
        <w:tc>
          <w:tcPr>
            <w:tcW w:w="0" w:type="dxa"/>
            <w:vAlign w:val="bottom"/>
          </w:tcPr>
          <w:p>
            <w:pPr>
              <w:spacing w:after="0"/>
              <w:rPr>
                <w:sz w:val="1"/>
                <w:szCs w:val="1"/>
                <w:color w:val="auto"/>
              </w:rPr>
            </w:pPr>
          </w:p>
        </w:tc>
      </w:tr>
      <w:tr>
        <w:trPr>
          <w:trHeight w:val="115"/>
        </w:trPr>
        <w:tc>
          <w:tcPr>
            <w:tcW w:w="2080" w:type="dxa"/>
            <w:vAlign w:val="bottom"/>
          </w:tcPr>
          <w:p>
            <w:pPr>
              <w:spacing w:after="0"/>
              <w:rPr>
                <w:sz w:val="10"/>
                <w:szCs w:val="10"/>
                <w:color w:val="auto"/>
              </w:rPr>
            </w:pPr>
          </w:p>
        </w:tc>
        <w:tc>
          <w:tcPr>
            <w:tcW w:w="780" w:type="dxa"/>
            <w:vAlign w:val="bottom"/>
            <w:tcBorders>
              <w:top w:val="single" w:sz="8" w:color="auto"/>
            </w:tcBorders>
            <w:gridSpan w:val="2"/>
          </w:tcPr>
          <w:p>
            <w:pPr>
              <w:ind w:left="180"/>
              <w:spacing w:after="0" w:line="115" w:lineRule="exact"/>
              <w:rPr>
                <w:sz w:val="20"/>
                <w:szCs w:val="20"/>
                <w:color w:val="auto"/>
              </w:rPr>
            </w:pPr>
            <w:r>
              <w:rPr>
                <w:rFonts w:ascii="Arial" w:cs="Arial" w:eastAsia="Arial" w:hAnsi="Arial"/>
                <w:sz w:val="11"/>
                <w:szCs w:val="11"/>
                <w:b w:val="1"/>
                <w:bCs w:val="1"/>
                <w:color w:val="auto"/>
              </w:rPr>
              <w:t>Units</w:t>
            </w:r>
          </w:p>
        </w:tc>
        <w:tc>
          <w:tcPr>
            <w:tcW w:w="680" w:type="dxa"/>
            <w:vAlign w:val="bottom"/>
            <w:tcBorders>
              <w:top w:val="single" w:sz="8" w:color="auto"/>
            </w:tcBorders>
          </w:tcPr>
          <w:p>
            <w:pPr>
              <w:jc w:val="right"/>
              <w:ind w:right="89"/>
              <w:spacing w:after="0" w:line="115"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700" w:type="dxa"/>
            <w:vAlign w:val="bottom"/>
            <w:tcBorders>
              <w:top w:val="single" w:sz="8" w:color="auto"/>
            </w:tcBorders>
            <w:gridSpan w:val="2"/>
          </w:tcPr>
          <w:p>
            <w:pPr>
              <w:ind w:left="180"/>
              <w:spacing w:after="0" w:line="115" w:lineRule="exact"/>
              <w:rPr>
                <w:sz w:val="20"/>
                <w:szCs w:val="20"/>
                <w:color w:val="auto"/>
              </w:rPr>
            </w:pPr>
            <w:r>
              <w:rPr>
                <w:rFonts w:ascii="Arial" w:cs="Arial" w:eastAsia="Arial" w:hAnsi="Arial"/>
                <w:sz w:val="11"/>
                <w:szCs w:val="11"/>
                <w:b w:val="1"/>
                <w:bCs w:val="1"/>
                <w:color w:val="auto"/>
              </w:rPr>
              <w:t>Units</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0"/>
                <w:szCs w:val="10"/>
                <w:color w:val="auto"/>
              </w:rPr>
            </w:pPr>
          </w:p>
        </w:tc>
        <w:tc>
          <w:tcPr>
            <w:tcW w:w="60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Units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1"/>
                <w:szCs w:val="11"/>
                <w:b w:val="1"/>
                <w:bCs w:val="1"/>
                <w:color w:val="auto"/>
                <w:w w:val="86"/>
              </w:rPr>
              <w:t>Amount</w:t>
            </w: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ind w:left="180"/>
              <w:spacing w:after="0" w:line="115" w:lineRule="exact"/>
              <w:rPr>
                <w:sz w:val="20"/>
                <w:szCs w:val="20"/>
                <w:color w:val="auto"/>
              </w:rPr>
            </w:pPr>
            <w:r>
              <w:rPr>
                <w:rFonts w:ascii="Arial" w:cs="Arial" w:eastAsia="Arial" w:hAnsi="Arial"/>
                <w:sz w:val="11"/>
                <w:szCs w:val="11"/>
                <w:b w:val="1"/>
                <w:bCs w:val="1"/>
                <w:color w:val="auto"/>
              </w:rPr>
              <w:t>Units</w:t>
            </w: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0"/>
                <w:szCs w:val="10"/>
                <w:color w:val="auto"/>
              </w:rPr>
            </w:pPr>
          </w:p>
        </w:tc>
        <w:tc>
          <w:tcPr>
            <w:tcW w:w="740" w:type="dxa"/>
            <w:vAlign w:val="bottom"/>
            <w:gridSpan w:val="2"/>
          </w:tcPr>
          <w:p>
            <w:pPr>
              <w:jc w:val="right"/>
              <w:ind w:right="240"/>
              <w:spacing w:after="0" w:line="115"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0"/>
                <w:szCs w:val="10"/>
                <w:color w:val="auto"/>
              </w:rPr>
            </w:pPr>
          </w:p>
        </w:tc>
        <w:tc>
          <w:tcPr>
            <w:tcW w:w="1000" w:type="dxa"/>
            <w:vAlign w:val="bottom"/>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0"/>
                <w:szCs w:val="10"/>
                <w:color w:val="auto"/>
              </w:rPr>
            </w:pPr>
          </w:p>
        </w:tc>
        <w:tc>
          <w:tcPr>
            <w:tcW w:w="840" w:type="dxa"/>
            <w:vAlign w:val="bottom"/>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6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3"/>
              </w:rPr>
              <w:t>16,666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126,000</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324,145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$ 1,481,247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(25,442,035)</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(23,960,756)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Unit-based compensation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expense, including vesting of</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restricted member units and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issuance of common member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units</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7,512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126,966</w:t>
            </w:r>
          </w:p>
        </w:tc>
        <w:tc>
          <w:tcPr>
            <w:tcW w:w="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126,967</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fair value of</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redeemable common member</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 to redemption value</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(13,000)</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13,000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13,000</w:t>
            </w: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826,480</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826,480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2020</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16,666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113,000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331,657</w:t>
            </w:r>
          </w:p>
        </w:tc>
        <w:tc>
          <w:tcPr>
            <w:tcW w:w="240" w:type="dxa"/>
            <w:vAlign w:val="bottom"/>
            <w:gridSpan w:val="2"/>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$ 1,621,213</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(24,615,555)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(22,994,309)</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4"/>
                <w:szCs w:val="14"/>
                <w:color w:val="auto"/>
              </w:rPr>
              <w:t>Balance at December 31, 2020</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80" w:type="dxa"/>
            <w:vAlign w:val="bottom"/>
            <w:vMerge w:val="continue"/>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4"/>
                <w:szCs w:val="14"/>
                <w:color w:val="auto"/>
                <w:w w:val="86"/>
              </w:rPr>
              <w:t>210,715</w:t>
            </w:r>
          </w:p>
        </w:tc>
        <w:tc>
          <w:tcPr>
            <w:tcW w:w="1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89"/>
              </w:rPr>
              <w:t>$ 1,400,935</w:t>
            </w:r>
          </w:p>
        </w:tc>
        <w:tc>
          <w:tcPr>
            <w:tcW w:w="200" w:type="dxa"/>
            <w:vAlign w:val="bottom"/>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Arial" w:cs="Arial" w:eastAsia="Arial" w:hAnsi="Arial"/>
                <w:sz w:val="14"/>
                <w:szCs w:val="14"/>
                <w:color w:val="auto"/>
                <w:w w:val="86"/>
              </w:rPr>
              <w:t>2,624,324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color w:val="auto"/>
                <w:w w:val="91"/>
              </w:rPr>
              <w:t>$ 6,341,288</w:t>
            </w:r>
          </w:p>
        </w:tc>
        <w:tc>
          <w:tcPr>
            <w:tcW w:w="140" w:type="dxa"/>
            <w:vAlign w:val="bottom"/>
          </w:tcPr>
          <w:p>
            <w:pPr>
              <w:spacing w:after="0"/>
              <w:rPr>
                <w:sz w:val="12"/>
                <w:szCs w:val="12"/>
                <w:color w:val="auto"/>
              </w:rPr>
            </w:pPr>
          </w:p>
        </w:tc>
        <w:tc>
          <w:tcPr>
            <w:tcW w:w="440" w:type="dxa"/>
            <w:vAlign w:val="bottom"/>
          </w:tcPr>
          <w:p>
            <w:pPr>
              <w:ind w:left="60"/>
              <w:spacing w:after="0" w:line="143" w:lineRule="exact"/>
              <w:rPr>
                <w:sz w:val="20"/>
                <w:szCs w:val="20"/>
                <w:color w:val="auto"/>
              </w:rPr>
            </w:pPr>
            <w:r>
              <w:rPr>
                <w:rFonts w:ascii="Arial" w:cs="Arial" w:eastAsia="Arial" w:hAnsi="Arial"/>
                <w:sz w:val="14"/>
                <w:szCs w:val="14"/>
                <w:color w:val="auto"/>
                <w:w w:val="83"/>
              </w:rPr>
              <w:t>16,666</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29,000</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331,789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3"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w w:val="86"/>
              </w:rPr>
              <w:t>$ 1,876,458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w w:val="85"/>
              </w:rPr>
              <w:t>$ (18,797,570)</w:t>
            </w:r>
          </w:p>
        </w:tc>
        <w:tc>
          <w:tcPr>
            <w:tcW w:w="20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88"/>
              </w:rPr>
              <w:t>(16,921,079)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 Series A preferred units,</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of offering costs of</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$213,073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453,094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3,034,526</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Conversion of Senior Convertible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Notes, including accrued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interest, to Series A preferred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units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844,824</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5,728,793</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137,497</w:t>
            </w:r>
          </w:p>
        </w:tc>
        <w:tc>
          <w:tcPr>
            <w:tcW w:w="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137,497</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of warrants issued in</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conjunction with the Series A</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units</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(158,658)</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158,658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158,658</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Fair value of warrants issued as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placement agent fees</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(13,388)</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13,388</w:t>
            </w:r>
          </w:p>
        </w:tc>
        <w:tc>
          <w:tcPr>
            <w:tcW w:w="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13,388</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Unit-based compensation</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expense, including vesting of</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restricted member units and</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of common member</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25,513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25,513</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(892,049)</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(892,049)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2021</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1,508,633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$ 9,992,208</w:t>
            </w:r>
          </w:p>
        </w:tc>
        <w:tc>
          <w:tcPr>
            <w:tcW w:w="7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2,624,324</w:t>
            </w:r>
          </w:p>
        </w:tc>
        <w:tc>
          <w:tcPr>
            <w:tcW w:w="9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$ 6,341,288</w:t>
            </w: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16,666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336,007</w:t>
            </w:r>
          </w:p>
        </w:tc>
        <w:tc>
          <w:tcPr>
            <w:tcW w:w="240" w:type="dxa"/>
            <w:vAlign w:val="bottom"/>
            <w:gridSpan w:val="2"/>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$ 2,211,514</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(19,689,619)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(17,478,072)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jc w:val="center"/>
        <w:ind w:left="85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826,480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(892,049)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Unit-based compensation expense</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126,967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316,076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62,985</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Change in fair value of convertible promissory notes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(1,642,524)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(9,317)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7,340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241,383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(1,299,101)</w:t>
            </w:r>
          </w:p>
        </w:tc>
        <w:tc>
          <w:tcPr>
            <w:tcW w:w="0" w:type="dxa"/>
            <w:vAlign w:val="bottom"/>
          </w:tcPr>
          <w:p>
            <w:pPr>
              <w:spacing w:after="0"/>
              <w:rPr>
                <w:sz w:val="1"/>
                <w:szCs w:val="1"/>
                <w:color w:val="auto"/>
              </w:rPr>
            </w:pP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(63,073)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398,464</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(187,351)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(1,715,251)</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convertible bridge notes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Proceeds from the sale of Series A preferred units,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3,034,526</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3,034,526</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(162,351)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1,319,275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226,603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341,037</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1,660,312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Conversion of convertible promissory notes, including accrued interest, to Series A preferred units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5,866,290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warrants in conjunction with Series A preferred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172,046</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360"/>
              <w:spacing w:after="0"/>
              <w:rPr>
                <w:sz w:val="20"/>
                <w:szCs w:val="20"/>
                <w:color w:val="auto"/>
              </w:rPr>
            </w:pPr>
            <w:r>
              <w:rPr>
                <w:rFonts w:ascii="Arial" w:cs="Arial" w:eastAsia="Arial" w:hAnsi="Arial"/>
                <w:sz w:val="18"/>
                <w:szCs w:val="18"/>
                <w:color w:val="auto"/>
              </w:rPr>
              <w:t>Deferred offering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redeemable common member units to redemption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Context Therapeutics LLC (the “Company”) is a clinical-stage biopharmaceutical company dedicated to improving the lives of women living with hormone-dependent cancer. The Company was organized in April 2015 under the laws of the State of Delaware. The Company’s operations are located in Philadelphia, Pennsylvania. In April 2021, the Company completed a reverse triangular merger, resulting in Context Therapeutics Inc becoming the sole holder of 100% of the membership interests in Context Therapeutics LLC, which resulted in all of the common units, preferred units and all options, warrants or other rights to purchase common or preferred units of Context Therapeutics LLC converting into common stock, preferred stock and all options, warrants or other rights to purchase common or preferred stock of Context Therapeutics Inc.</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Company has incurred losses and negative cash flows from operations since inception and had an accumulated deficit of $19.7 million as of March 31, 2021. The Company anticipates incurring additional losses until such time, if ever, that it can generate significant revenues from its product candidates currently in development. The Company’s primary source of liquidity to date has been the issuance of convertible promissory notes and convertible preferred units. Substantial additional financing will be needed by the Company to fund its operations and to commercially develop its product candidates. There is no assurance that such financing will be available when needed or on acceptable terms. In view of these matters, there is substantial doubt that the Company will be able to continue as a going concern. The Company’s ability to continue as a going concern is dependent upon the Company’s ability to expand operations and to achieve a level of profitability and positive cash flows. The unaudited interim consolidated financial statements of the Company do not include any adjustments relating to the recoverability and classification of recorded assets, or the amounts and classifications of liabilities that might be necessary should the Company be unable to continue as a going concern.</w:t>
      </w:r>
    </w:p>
    <w:p>
      <w:pPr>
        <w:spacing w:after="0" w:line="166"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Company plans to secure additional capital in the future through equity and/or debt financings, partnerships, collaborations, or other sources to carry out the Company’s planned development activities. If additional capital is not available when required, the Company may need to delay or curtail its operations until such funding is received. Various internal and external factors will affect whether and when the Company’s product candidates become approved for marketing and successful commercialization. The regulatory approval and market acceptance of the Company’s product candidates, length of time and cost of developing and commercializing these product candidates and/or failure of them at any stage of the approval process will materially affect the Company’s financial condition and future operations.</w:t>
      </w:r>
    </w:p>
    <w:p>
      <w:pPr>
        <w:spacing w:after="0" w:line="178"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The Company faces risks associated with companies whose products are in development. These risks include the need for additional financing to complete its research and development, achieving its research and development objectives, defending its intellectual property rights, recruiting and retaining skilled personnel, and dependence on key members of management, among others.</w:t>
      </w:r>
    </w:p>
    <w:p>
      <w:pPr>
        <w:spacing w:after="0" w:line="16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March 2020, the World Health Organization declared the outbreak of COVID-19 a global pandemic. The spread of COVID-19 during 2020 has caused worldwide economic downturn and significant volatility in the financial markets. There is significant uncertainty as to the likely effects of this disease which may, among other things, materially impact the Company’s planned clinical trials. This pandemic or outbreak could result in difficulty securing clinical trial site locations, contract research organizations,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consolidated financial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following unaudited condensed consolidated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include all normal and recurring adjustments (which consist primarily of accruals and estimates that impact the financial statements) considered necessary to present fairly the Company’s financial position as of March 31, 2021 and its results of operations and cash flows for the three months ended March 31, 2020 and 2021. Operating results for the three months ended March 31, 2021 are not necessarily indicative of the results that may be expected for the year ending December 31, 2021. The unaudited condensed financial statements, presented herein, do not contain the required disclosures under GAAP for annual financial statements. The accompanying unaudited condensed consolidated financial statements should be read in conjunction with the annual audited consolidated financial statements and related notes as of and for the year ended December 31, 2020. The consolidated financial information as of December 31, 2020 included herein has been derived from the annual audited consolidated financial statements.</w:t>
      </w:r>
    </w:p>
    <w:p>
      <w:pPr>
        <w:spacing w:after="0" w:line="178" w:lineRule="exact"/>
        <w:rPr>
          <w:sz w:val="20"/>
          <w:szCs w:val="20"/>
          <w:color w:val="auto"/>
        </w:rPr>
      </w:pPr>
    </w:p>
    <w:p>
      <w:pPr>
        <w:jc w:val="both"/>
        <w:ind w:left="120" w:right="40"/>
        <w:spacing w:after="0" w:line="308" w:lineRule="auto"/>
        <w:rPr>
          <w:sz w:val="20"/>
          <w:szCs w:val="20"/>
          <w:color w:val="auto"/>
        </w:rPr>
      </w:pPr>
      <w:r>
        <w:rPr>
          <w:rFonts w:ascii="Arial" w:cs="Arial" w:eastAsia="Arial" w:hAnsi="Arial"/>
          <w:sz w:val="17"/>
          <w:szCs w:val="17"/>
          <w:color w:val="auto"/>
        </w:rPr>
        <w:t>The unaudited condensed consolidated financial statements include the accounts of the Company, Context Biopharma, Inc. and Context Ireland Ltd., the Company’s wholly owned subsidiaries. All intercompany accounts and transactions have been eliminated in consolidation.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contingent liabilities at the date of the consolidated financial statements and the reported amounts of expenses during the reporting period. Actual results could differ from those estimates.</w:t>
      </w:r>
    </w:p>
    <w:p>
      <w:pPr>
        <w:spacing w:after="0" w:line="14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Estimates and assumptions are periodically reviewed, and the effects of the revisions are reflected in the accompanying unaudited interim consolidated financial statements in the period they are determined to be necessary. Significant estimates and assumptions made in the accompanying unaudited interim consolidated financial statements include, but are not limited to, the fair value of common membership units, unit-based compensation arrangements, the fair value of convertible debt and in recording the prepayments, accruals and associated expense for research and development activities performed for the Company by third parties.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allocate resources and in assessing performance. The Company views its operations and manages its business in one segment.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At December 31, 2020 and March 31, 2021, the Company’s financial instruments included cash equivalents, prepaid expenses and other current assets and accounts payable. The carrying amounts of these assets and liabilities approximate fair value due to their short-term nature. Convertible promissory notes are recorded at approximate fair value on a recurring basis (see Note 4 for further discussion).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considers all highly liquid investments that have original maturities of three months or less when acquired to be cash equivalents. Cash equivalents consist of amounts invested in money market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 costs are recorded as a reduction of additional paid-in capital generated as a result of such offering. Should an in-process equity financing be abandoned, the deferred offering costs will be expensed immediately as a charge to operating expenses in the consolidated statements of operations. As of December 31, 2020 and March 31, 2021, the Company had deferred offering costs of $0.1 million and $0.6 million, respectively, related to the Company’s Series A Unit financing (See Note 6) and the Company’s in process IPO. All deferred offering costs related to the Company’s Series A Unit financing were recorded against Series A preferred units as of March 31, 2021.</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 and Redeemable Common Units</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The Company accounts for its convertible preferred units subject to possible conversion in accordance with ASC 480, </w:t>
      </w:r>
      <w:r>
        <w:rPr>
          <w:rFonts w:ascii="Arial" w:cs="Arial" w:eastAsia="Arial" w:hAnsi="Arial"/>
          <w:sz w:val="16"/>
          <w:szCs w:val="16"/>
          <w:i w:val="1"/>
          <w:iCs w:val="1"/>
          <w:color w:val="auto"/>
        </w:rPr>
        <w:t>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Conditionally convertible preferred units (including units that feature conversion rights that are either within the control of the holder or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conversion upon the occurrence of uncertain events not solely within the Company’s control) are classified as temporary equity. The Company’s convertible preferred units feature redemption rights that are considered by the Company to be outside of the Company’s control and subject to the occurrence of uncertain future events. Accordingly, at December 31, 2020 and March 31, 2021, the convertible preferred units subject to contingent redemption are presented as temporary equity, outside of the members’ deficit section of the Company’s unaudited interim consolidated balance sheets. For more information related to the redemption and conversion features of convertible preferred units, see Note 6. Certain common member units issued to Drexel University (“Drexel”) contain put option rights whereby Drexel may, at their option, request the Company redeem the common member units held by Drexel and at the estimated fair value of the common member units at the time of redemption. Drexel’s common member units are presented as temporary equity and subsequently remeasured to their estimated redemption value at each reporting period. Drexel’s put option right will terminate immediately prior to and upon consummation of an initial public offering of the Company’s common stock as discussed elsewhere in the registration statement to which these unaudited interim consolidated financial statements are included.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unit-based compensation, and other operational costs related to the Company’s research and development activities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external costs of outside vendors engaged to conduct clinical studies and other research and development activities.</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makes estimates of prepaid/accrued expenses as of each balance sheet date in the financial statements based on facts and circumstances known at that time. If the actual timing of the performance of services or the level of effort varies from the estimate, the Company will adjust the accrual accordingly.</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and recognizes unit-based compensation expense for both employee and nonemployee awards based on the grant date fair value of the awards. The Company recognizes unit-based compensation expense on a straight-line basis over the requisite service period of the awards, which is generally the vesting period. The Company recognizes forfeitures as they occur.</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classifies unit-based compensation expense in its unaudited interim consolidated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Company estimates the fair value of employee and non-employee unit awards as of the date of grant using the Black-Scholes option pricing model. The Company historically has been a private company and lacks Company-specific historical and implied volatility information. Therefore, management estimates the expected share price volatility based on the historical volatility of a publicly traded set of peer companies and expects to continue to do so until such time as it has adequate historical data regarding the volatility of its own publicly traded share price. The expected term of the Company’s unit awards has been determined utilizing the “simplified” method for awards that qualify as “plain-vanilla” unit awards. The risk-free interest rate is determined by reference to the yield curve of a zero-coupon U.S. Treasury bond on the date of grant of the award for time periods approximately equal to the expected term of the award. Expected dividend yield is based on the fact that the Company has never paid cash dividends on member units and does not expect to pay any cash dividends in the foreseeable future.</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addition, the Company measures and recognizes unit-based compensation expense for advisors, officers and director restricted unit awards based on the grant date fair value of the awards.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Net Income (Loss) Per Share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April 23, 2021, the Company completed a reverse triangular merger, resulting in Context Therapeutics Inc. becoming the sole holder of 100% of the membership interests in Context Therapeutics LLC. Immediately prior to the closing of a qualified public offering (“IPO”) (Note 6), all of the outstanding common stock, preferred stock and warrants of Context Therapeutics Inc., will automatically convert into common shares. In addition, the put option within the Redeemable Common Stock held by Drexel will be terminated. In the accompanying unaudited interim consolidated statement of operations for the three months ended March 31, 2021, unaudited pro forma basic and diluted net income per share of common stock have been prepared to give effect to the automatic conversion of all outstanding shares of convertible preferred units and the reclassification of the redeemable common member units upon termination of the put option as if they had been converted at the later of the beginning of the reporting period or the issuance date of the convertible preferred or redeemable common unit.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 pro forma income tax provision has been disclosed for the three months ended March 31, 2021 as if the Company was a C-Corporation. Based on the Company’s history of generating operating losses and its anticipation of operating losses continuing in the foreseeable future, the Company has determined that it would not have been more likely than not that the tax benefits from these net operating losses would be realized and as such, a full valuation allowance against all deferred tax assets would be recorded on a pro forma basis. Therefore, for the purposes of the pro forma tax provision, the Company has applied a 0% combined federal and state income rate.</w:t>
      </w:r>
    </w:p>
    <w:p>
      <w:pPr>
        <w:spacing w:after="0" w:line="1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unaudited pro forma net income per share is computed using the weighted average number of common member units outstanding after giving effect to the conversion of $6.0 million of convertible promissory notes, issued in 2020, into 838,495 Series A Units as if they were outstanding on the first day of the interim period, the automatic conversion of all convertible preferred units, inclusive of 2,624,324 units of Series Seed convertible preferred units (“Series Seed Units”) issued in May 2020 and 1,508,633 Series A Units issued through March 31, 2021 as well as the automatic cashless exercise of warrants to purchase 151,119 common shares, based on the assumption that the fair market value of the Company’s common shares for purposes of automatic exercise under the warrant will be equal to the assumed initial public offering price of $13.00 per share, into common shares upon the closing of a qualified IPO, as if the qualified IPO had occurred at the beginning of the period or the date the shares were issued, if later.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calculation of unaudited pro forma basic and diluted net (loss) per common share for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(892,049)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conversion of convertible 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53,668</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Pro forma net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(838,381)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349,235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838,495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Conversion of Series A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399,909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Seed Units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2,653,483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Automatic cashless exercise of warrants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120,498</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issued in computing unaudited pro forma weighted average basic and diluted common</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4,361,620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9"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in order to increase transparency and comparability among organizations by, among other provisions, recognizing lease assets and lease liabilities on the balance sheet for those leases classified as operating leases under previous GAAP. In transition, entities may also elect a package of practical expedients that must be applied in its entirety to all leases commencing before the adoption date, unless the lease is modified, and permits entities to not reassess (a) the existence of a lease, (b) the lease classification or (c) the determination of initial direct costs, as of the adoption date, which effectively allows entities to carryforward accounting conclusions under previous GAAP.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entities an optional transition method to apply the guidance under Topic 842 as of the adoption date, rather than as of the earliest period presented. In June 2020, the FASB issued ASU</w:t>
      </w:r>
    </w:p>
    <w:p>
      <w:pPr>
        <w:spacing w:after="0" w:line="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2020-05 that further delayed the effective date of Topic 842 to fiscal years beginning July 1, 2022, and interim periods within those years. The Company is currently evaluating the impact of adopting this guidance to its consolidated financial statements but does not believe this adoption will have a material impact due to the fact that the Company does not have any long-term lease commitments.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left="120" w:right="740"/>
        <w:spacing w:after="0" w:line="342" w:lineRule="auto"/>
        <w:rPr>
          <w:sz w:val="20"/>
          <w:szCs w:val="20"/>
          <w:color w:val="auto"/>
        </w:rPr>
      </w:pPr>
      <w:r>
        <w:rPr>
          <w:rFonts w:ascii="Arial" w:cs="Arial" w:eastAsia="Arial" w:hAnsi="Arial"/>
          <w:sz w:val="16"/>
          <w:szCs w:val="16"/>
          <w:color w:val="auto"/>
        </w:rPr>
        <w:t>The Company utilizes a valuation hierarchy that prioritizes fair value measurements based on the types of inputs used for the various valuation techniques related to its financial assets and financial liabilities. The three levels of inputs used to measure fair value are described as follows: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 – Unobservable inputs in which there is little or no market date, which require the reporting entity to develop its own assumptions.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sets forth the Company’s assets and liabilities measured at fair value on a recurring basis: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December 31, 2020</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42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2"/>
                <w:szCs w:val="12"/>
                <w:color w:val="auto"/>
              </w:rPr>
            </w:pPr>
          </w:p>
        </w:tc>
        <w:tc>
          <w:tcPr>
            <w:tcW w:w="17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42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7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Assets (Level 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(Level 2)</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360"/>
              <w:spacing w:after="0" w:line="201" w:lineRule="exact"/>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4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50,367</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50,367</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Convertible Promissory Notes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5,829,292</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5,829,292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5,829,292</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5,829,292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97"/>
              </w:rPr>
              <w:t>F-34</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400" w:type="dxa"/>
            <w:vAlign w:val="bottom"/>
          </w:tcPr>
          <w:p>
            <w:pPr>
              <w:spacing w:after="0"/>
              <w:rPr>
                <w:sz w:val="10"/>
                <w:szCs w:val="10"/>
                <w:color w:val="auto"/>
              </w:rPr>
            </w:pPr>
          </w:p>
        </w:tc>
        <w:tc>
          <w:tcPr>
            <w:tcW w:w="11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Significant Other</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2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2"/>
                <w:szCs w:val="12"/>
                <w:color w:val="auto"/>
              </w:rPr>
            </w:pPr>
          </w:p>
        </w:tc>
        <w:tc>
          <w:tcPr>
            <w:tcW w:w="18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4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780" w:type="dxa"/>
            <w:vAlign w:val="bottom"/>
          </w:tcPr>
          <w:p>
            <w:pPr>
              <w:spacing w:after="0"/>
              <w:rPr>
                <w:sz w:val="12"/>
                <w:szCs w:val="12"/>
                <w:color w:val="auto"/>
              </w:rPr>
            </w:pPr>
          </w:p>
        </w:tc>
        <w:tc>
          <w:tcPr>
            <w:tcW w:w="13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Assets (Level 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40" w:type="dxa"/>
            <w:vAlign w:val="bottom"/>
          </w:tcPr>
          <w:p>
            <w:pPr>
              <w:ind w:left="360"/>
              <w:spacing w:after="0" w:line="201" w:lineRule="exact"/>
              <w:rPr>
                <w:sz w:val="20"/>
                <w:szCs w:val="20"/>
                <w:color w:val="auto"/>
              </w:rPr>
            </w:pPr>
            <w:r>
              <w:rPr>
                <w:rFonts w:ascii="Arial" w:cs="Arial" w:eastAsia="Arial" w:hAnsi="Arial"/>
                <w:sz w:val="18"/>
                <w:szCs w:val="18"/>
                <w:color w:val="auto"/>
              </w:rPr>
              <w:t>Cash equivalents</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540"/>
              <w:spacing w:after="0"/>
              <w:rPr>
                <w:sz w:val="20"/>
                <w:szCs w:val="20"/>
                <w:color w:val="auto"/>
              </w:rPr>
            </w:pPr>
            <w:r>
              <w:rPr>
                <w:rFonts w:ascii="Arial" w:cs="Arial" w:eastAsia="Arial" w:hAnsi="Arial"/>
                <w:sz w:val="18"/>
                <w:szCs w:val="18"/>
                <w:color w:val="auto"/>
              </w:rPr>
              <w:t>(Money Market Funds)</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50,373</w:t>
            </w:r>
          </w:p>
        </w:tc>
        <w:tc>
          <w:tcPr>
            <w:tcW w:w="94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50,373</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further described in Note 5, the Company issued convertible promissory notes from inception through April 2019 (the “Junior Convertible Notes”) to various investors and from October 2019 through March 2020, the Company issued convertible bridge notes to the Co-Founder and Chief Executive Officer (the “Convertible Bridge Notes”). During April 2020, certain of the Junior Convertible Notes were converted into Senior Convertible Notes (the “Senior Convertible Notes”) (collectively, the “Convertible Promissory Notes”).</w:t>
      </w:r>
    </w:p>
    <w:p>
      <w:pPr>
        <w:spacing w:after="0" w:line="18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Due to the number of embedded provisions contained in the Convertible Promissory Notes and Convertible Bridge Notes, the fair value option, as prescribed by ASC 815, was elected and applied to all Convertible Promissory Note and Convertible Bridge Note issuances since the Company’s inception in 2015, in connection with the preparation of these financial statements. The fair value of the Convertible Promissory Notes and Convertible Bridge Notes is determined using a scenario-based analysis that estimates the fair value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adjusts the carrying value of its Convertible Promissory Notes and Convertible Bridge Notes to their estimated fair value at each reporting date, with any related increases or decreases in the fair value recorded as change in fair value of convertible promissory notes in the consolidated statement of operations. The change in fair value of convertible promissory notes within the three months ended March 31, 2021 unaudited interim consolidated statement of operations also includes reversals of gains and losses previously recognized by the Company upon conversion of the notes (Note 5).</w:t>
      </w:r>
    </w:p>
    <w:p>
      <w:pPr>
        <w:spacing w:after="0" w:line="188"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fair value of the Junior Convertible Notes and Convertible Bridge Notes at March 31, 2020 was estimated using a Contingent Claims Analysis (“CCA”), also called the Option Pricing Method, by an independent third-party valuation specialist. The model estimated the fair value of the Convertible Promissory Notes based on accrued interest, the time to a future liquidity event and the value of a future liquidity event. Because the Company’s capital structure varied, it was necessary to value the securities in a lattice framework rather than using the Black-Scholes-Merton formula.</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fair value of the Senior Convertible Notes at December 31, 2020 was calculated using an option pricing model (“OPM”) framework and utilized the back-solve method for inferring and allocating the equity value predicated on the concurrent sale of Series A Units. This method was selected as it was concluded that the sale of the Series A Units was an arm’s-length transaction. Application of the OPM back-solve method involves making assumptions for the expected time to liquidity and volatility, and then solving for the value of equity such that value for the most recent financing equals the amount paid.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presents a roll-forward of the aggregate fair values of the Company’s Convertible Promissory Notes (Note 5) for which fair value is determined by Level 3 inputs for the periods indicated:</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2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$ 21,842,931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Issuance of Convertible Bridge Notes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adjustments</w:t>
            </w:r>
          </w:p>
        </w:tc>
        <w:tc>
          <w:tcPr>
            <w:tcW w:w="23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(1,642,524)</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316,076</w:t>
            </w:r>
          </w:p>
        </w:tc>
        <w:tc>
          <w:tcPr>
            <w:tcW w:w="10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2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$ 20,541,483</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88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3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$ 5,829,292</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Fair value adjustments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(9,317)</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46,315</w:t>
            </w: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Conversion of Senior Convertible Notes into Series A Units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(5,866,290)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0" w:type="dxa"/>
            <w:vAlign w:val="bottom"/>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Convertible Promissory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Junior Convertible Notes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From inception through December 2018, the Company issued Junior Convertible Notes that had an aggregate issuance date fair value of $15.8 million, an aggregate principal balance of $10.7 million and bore interest at rates ranging from 3.00% to 7.73% per year. From January 2019 through April 2019, the Company issued Junior Convertible Notes in the aggregate principal of $1.5 million that bore interest at rates ranging between 6.00% and 15.00% per year. From April 2015 through December 2017, the Company issued demand notes to the Chief Executive Officer and an immediate family member (the “Related Party”) with an aggregate principal balance of $1.8 million that bore interest at rates ranging from 3.00% to 6.00% per year. During April 2019, $1.9 million of principal and interest was converted from demand notes to a Junior Convertible Note bearing interest at a rate of 15.00%. Additionally, in July 2019, the Company issued $1.2 million of Junior Convertible Notes in lieu of severance payments to former executives. At March 31, 2020, principal of $5.7 million of Junior Convertible Notes outstanding were held by the Related Party. In the event of qualified financing resulting in gross proceeds of various amounts (“Junior Note Qualified Financing”), the outstanding principal and interest of the Junior Convertible Notes would automatically convert into Series Seed preferred units at a price equal to 75% to 80% of the issue price per share of the units issued in the Junior Note Qualified Financing and on the same terms and conditions of such Junior Note Qualified Financing.</w:t>
      </w:r>
    </w:p>
    <w:p>
      <w:pPr>
        <w:spacing w:after="0" w:line="172"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Due to certain embedded features within the Junior Convertible Notes, the Company elected to account for these notes and all their embedded features under the fair value option. For the three months ended March 31, 2020, the Company recognized $1.5 million in the consolidated statement of operations related to decreases in the fair value of the Junior Convertible Notes. For the three months ended March 31, 2020, the Company recognized $0.3 million of interest expense in connection with the Junior Convertible Notes, including $0.2 million payable to the Related Party. All of the outstanding principal and accrued but unpaid interest associated with the Junior Convertible Notes converted into 2,615,553 Series Seed Units in May 2020, of which 840,363 units were issued to the Related Party.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Bridge Notes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From October 2019 through March 2020, the Company issued convertible bridge notes to the Related Party in the amount of $0.5 million. The Convertible Bridge Notes bore interest at a rate of 6.0% and were set to mature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December 31, 2021 (“Maturity Date”). In the event of qualified financing resulting in gross proceeds of $1.0 million (“Bridge Note Qualified Financing”), the outstanding principal and interest of the Convertible Bridge Notes would automatically convert into Series A Units at a price equal to the issue price per share of the units issued in the Bridge Note Qualified Financing and on the same terms and conditions of such Bridge Note Qualified Financing. In the event that a Bridge Note Qualified Financing was not consummated prior to the Maturity Date, then, at the election of the holder made at least five days prior to the Maturity Date, effective upon the Maturity Date, the outstanding principal balance and any unpaid accrued interest under the Senior Convertible Notes was to convert into Series A Units of the Company at a conversion price equal to 80% of the conversion price. On December 22, 2020, the outstanding principal and accrued but unpaid interest associated with the Convertible Bridge Notes converted into 78,178 Series A Units.</w:t>
      </w:r>
    </w:p>
    <w:p>
      <w:pPr>
        <w:spacing w:after="0" w:line="192"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Due to certain embedded features within the Convertible Bridge Notes, the Company elected to account for these notes and all their embedded features under the fair value option. For the three months ended March 2020, the Company recognized a change of $0.1 million in the consolidated statement of operations related to decreases in the fair value of the Convertible Bridge Notes. For the three months ended March 31, 2020, the Company recognized approximately $8,000 of interest expense in connection with the Convertible Bridge Notes.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Convertible Notes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April 2020, $5.1 million of principal and $0.6 million of accrued interest related to certain Junior Convertible Notes were converted into Senior Convertible Notes. Of the Senior Convertible Notes issued in 2020, $2.5 million of principal and $0.4 million of accrued interest were issued to the Related Party. The Senior Convertible Notes bear interest at a rate of 6.0% per year and mature on December 31, 2021 (“Maturity Date”). All of the Company’s assets, including intellectual property, are pledged as collateral to the Senior Convertible Note holders. In the event of a qualified financing, whereby the Company issues and sells its Series A Units and raises capital of at least $2.5 million of total gross proceeds in cash (“Senior Note Qualified Financing”), the outstanding principal and interest of the Senior Convertible Notes would automatically convert into Series A Units at a price equal to the issue price per share of the units issued in the Senior Note Qualified Financing and on the same terms and conditions of such Senior Note Qualified Financing. In the event that a Senior Note Qualified Financing is not consummated prior to the Maturity Date, then, at the election of the holder made at least five days prior to the Maturity Date, effective upon the Maturity Date, the outstanding principal balance and any unpaid accrued interest under the Senior Convertible Notes shall be converted into Series A of the Company at a conversion price equal to 90% of the conversion price. In the event that the Company consummates a sale of the Company prior to the conversion or repayment in full of the Senior Convertible Notes, (i) the Company will give the holder at least five days prior written notice of the anticipated closing date of such sale of the Company and (ii) at the closing of such sale of the Company, in lieu of the principal and interest that would otherwise be payable on the Maturity Date, the Company will pay the holder an aggregate amount equal to the greater of: (i) one (1) times the aggregate amount of principal and interest then outstanding under the Senior Convertible Notes in full satisfaction of the Company’s obligations under the Senior Convertible Notes; or (ii) the sale proceeds multiplied by the pro rata ownership of the holder based upon a conversion of the Senior Convertible Notes at a price equal to the conversion price then in effect.</w:t>
      </w:r>
    </w:p>
    <w:p>
      <w:pPr>
        <w:spacing w:after="0" w:line="1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All of the outstanding principal and accrued but unpaid interest associated with the Senior Convertible Notes converted into 844,824 Series A Units in February 2021, of which 430,467 units were issued to the Related Party. Due to certain embedded features within the Senior Convertible Notes, the Company elected to account for these notes and all their embedded features under the fair value option. At the time of conversion, the estimated fair value of the Junior Convertible Notes was $5.7 million and was reclassified to Series A convertible preferred equity. The Company recorded a non-cash credit of $9,000 in the condensed consolidated statement of operations for the three months ended March 31, 2021 related to the decrease in fair value of the Senior Convertible Notes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from December 31, 2020 to the conversion date. For the three months ended March 31, 2021, the Company recognized $46,000 of interest expense in connection with the Senior Convertible Notes, including $23,000 payable to the Related Party.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May 2020, the Company entered into an original loan agreement with Pacific Western Bank as the lender (“Lender”) for a loan in an aggregate principal amount of $0.1 million (the “Loan”) pursuant to the Paycheck Protection Program (the “PPP”) under the Coronavirus Aid, Relief, and Economic Security (CARES) Act and implemented by the U.S. Small Business Administration. In June 2020, the Paycheck Protection Program Flexibility Act was enacted, which among other things, extended the deferral period for loan payments to either (1) the date that Small Business Administration remits the borrower’s loan forgiveness amount to the lender or (2) if the borrower does not apply for loan forgiveness, ten months after the end of the borrower’s loan forgiveness covered period. The Loan matures in two years and bears interest at a rate of 1.0% per year, with all payments deferred through September 5, 2021. Principal and interest are payable monthly commencing on September 5, 2021 and may be prepaid by the Company at any time prior to maturity without penalty. The Company may apply for forgiveness of amounts due under the Loan, with the amount of potential loan forgiveness to be calculated in accordance with the requirements of the PPP based on payroll costs, any mortgage interest payments, any covered rent payments and any covered utilities payments during the 8-24 week period after the origination date of the Loan. The Company utilized the proceeds of the Loan for payroll and other qualifying expenses, but there can be no assurances that any portion of the Loan will be forgiven.</w:t>
      </w:r>
    </w:p>
    <w:p>
      <w:pPr>
        <w:spacing w:after="0" w:line="17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At December 31, 2020 and March 31, 2021, the outstanding principal balance of the Loan was $124,000, of which approximately $55,000 is payable in 2021 and approximately $69,000 is payable in 2022 unless otherwise forgiven. The outstanding principal of the Loan is recorded within the note payable – current and note payable – noncurrent in the consolidated balance sheet.</w:t>
      </w:r>
    </w:p>
    <w:p>
      <w:pPr>
        <w:spacing w:after="0" w:line="288" w:lineRule="exact"/>
        <w:rPr>
          <w:sz w:val="20"/>
          <w:szCs w:val="20"/>
          <w:color w:val="auto"/>
        </w:rPr>
      </w:pPr>
    </w:p>
    <w:p>
      <w:pPr>
        <w:ind w:left="120" w:right="3400"/>
        <w:spacing w:after="0" w:line="400" w:lineRule="auto"/>
        <w:rPr>
          <w:sz w:val="20"/>
          <w:szCs w:val="20"/>
          <w:color w:val="auto"/>
        </w:rPr>
      </w:pPr>
      <w:r>
        <w:rPr>
          <w:rFonts w:ascii="Arial" w:cs="Arial" w:eastAsia="Arial" w:hAnsi="Arial"/>
          <w:sz w:val="17"/>
          <w:szCs w:val="17"/>
          <w:b w:val="1"/>
          <w:bCs w:val="1"/>
          <w:color w:val="auto"/>
        </w:rPr>
        <w:t xml:space="preserve">(6) Convertible Preferred Units, Redeemable Common Member Units and Common Member Units </w:t>
      </w:r>
      <w:r>
        <w:rPr>
          <w:rFonts w:ascii="Arial" w:cs="Arial" w:eastAsia="Arial" w:hAnsi="Arial"/>
          <w:sz w:val="17"/>
          <w:szCs w:val="17"/>
          <w:b w:val="1"/>
          <w:bCs w:val="1"/>
          <w:i w:val="1"/>
          <w:iCs w:val="1"/>
          <w:color w:val="auto"/>
        </w:rPr>
        <w:t>Series A convertible preferred units and Series Seed convertible preferred units</w:t>
      </w:r>
    </w:p>
    <w:p>
      <w:pPr>
        <w:jc w:val="both"/>
        <w:ind w:left="120" w:right="140"/>
        <w:spacing w:after="0" w:line="342" w:lineRule="auto"/>
        <w:rPr>
          <w:sz w:val="20"/>
          <w:szCs w:val="20"/>
          <w:color w:val="auto"/>
        </w:rPr>
      </w:pPr>
      <w:r>
        <w:rPr>
          <w:rFonts w:ascii="Arial" w:cs="Arial" w:eastAsia="Arial" w:hAnsi="Arial"/>
          <w:sz w:val="16"/>
          <w:szCs w:val="16"/>
          <w:color w:val="auto"/>
        </w:rPr>
        <w:t>In February and March 2021, the Company sold 453,094 Series A Units for $7.168 per unit for net proceeds of $3.0 million. The Company also issued 113,263 warrants to purchase common member units at an exercise price of $7.168 to the Series A Unit holders as part of the Series A Unit financing.</w:t>
      </w:r>
    </w:p>
    <w:p>
      <w:pPr>
        <w:spacing w:after="0" w:line="12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In February 2021, the Company converted $6.1 million of principal and interest related to Senior Convertible Notes into 844,824 Series A Units at a price of $7.168 per unit. In addition, warrants with a fair value of $0.1 million associated with the Senior Convertible Notes were reclassified into additional paid-in capital.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summary of the rights, preferences, and terms of the Series A Units and Series Seed Units (collectively, Convertible Preferred Units):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Series A Unit holders shall receive a non-cumulative distribution of 6% per year of the original capital contribution, which shall be payable upon the event of any voluntary or involuntary liquidation, dissolution or winding up of the Company (“Dissolution Event”), or the redemption or repurchase of any Series A. Series Seed does not receive a distribution right.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Upon a Dissolution Event, the holders of units of Series A shall receive the greater of 1.5 times the original issuance price plus any accrued distributions or the amount that such Series A unit holders would receive if the Series A Units were converted to Common Member Units (“Common Member Units”), prior to any distribution with respect to Series Seed Units or Common Member Units.</w:t>
      </w:r>
    </w:p>
    <w:p>
      <w:pPr>
        <w:spacing w:after="0" w:line="18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After amounts paid out to the Series A Unit holders upon a Dissolution Event, the Series Seed Units then outstanding shall be entitled to be paid out in accordance with the positive balance in their capital accounts with respect to their Series Seed Units, after giving effect to all contributions, distributions and allocations with respect to such Series Seed units for all periods, before any payment shall be made to the holders of Common Member Units.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Each Convertible Preferred Unit is convertible, at the option of the holder thereof, at any time, and without the payment of additional consideration, into a number of fully paid and nonassessable Common Member Units as determined by dividing the original issue price for the Convertible Preferred Unit by the conversion price for the Convertible Preferred Unit in effect at the time of conversion, except as otherwise defined in the Operating Agreement (the “Operating Agreement”). Notwithstanding the foregoing, in the event of a liquidation, dissolution, or winding up of the Company or acquisition of the majority of the Company’s assets, the Series Seed Unit conversion right will terminate at the close of business on the last full day preceding the date fixed for the first payment of any funds and assets distributable on such event to the Members holding Series Seed Units. No fractional Common Member Units will be issued upon conversion of the Convertible Preferred Unit. In lieu of any fractional units, the Company shall pay cash equal to such fraction multiplied by the fair market value of a Common Member Unit as determined in good faith by the Management Committee of the Company.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 connection with the Company’s issuance of Series A Units, the Company’s Management Committee shall be reconstituted so as to be comprised on five members, including one member appointed by a majority of the Series A unit holders, one member appointed by a majority of the Series Seed unit holders, two independent members and the Company’s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Due to certain deemed liquidation events that are outside of the control of the Company, the Series A Units and Series Seed Units are contingently redeemable and presented as temporary equity in the accompanying consolidated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Common Member Units and Common Member Units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Pursuant to the Operating Agreement filed in May 2015, as amended, the Company is authorized to issue a total of 30,000,000 Series A Units, Series Seed Units, and Common Member Units. Series Seed Unit and Common Member Unit holders do not have the power to take part in the direct management of the Company and have limited voting rights.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issued 16,666 common member units to Drexel during 2015 that include a put option right whereby Drexel may, at their option, request the Company repurchase the common member units held by Drexel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upon the earlier of (i) several triggering events associated with insolvency and bankruptcy matters of the Company and (ii) the tenth anniversary of the original issuance of common units to Drexel. Redemption, if elected by Drexel, is equal to the estimated fair value of common member units at the time of redemption. The shares held by Drexel are classified as temporary equity and presented outside of members’ deficit within the accompanying consolidated balance sheets. Changes in redemption value are recognized at each reporting period and based upon the estimated fair value of the redeemable common member units held by Drexel.</w:t>
      </w:r>
    </w:p>
    <w:p>
      <w:pPr>
        <w:spacing w:after="0" w:line="188"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During the three months ended March 31, 2020, the Company issued 7,512 Common Member Units to members of the board of managers as compensation for their services. The Company recorded unit-based compensation expense of $0.1 million in general and administrative expense during the three months ended March 31, 2020. No Common Member Units were granted during the three months ended March 31, 2021.</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for Common Member Units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Since inception, the Company has granted warrants to purchase Common Member Units at various dates. At March 31, 2021, the Company had the following warrants outstanding to acquire Common Member Units: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6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2300" w:type="dxa"/>
            <w:vAlign w:val="bottom"/>
            <w:gridSpan w:val="2"/>
          </w:tcPr>
          <w:p>
            <w:pPr>
              <w:ind w:left="600"/>
              <w:spacing w:after="0"/>
              <w:rPr>
                <w:sz w:val="20"/>
                <w:szCs w:val="20"/>
                <w:color w:val="auto"/>
              </w:rPr>
            </w:pPr>
            <w:r>
              <w:rPr>
                <w:rFonts w:ascii="Arial" w:cs="Arial" w:eastAsia="Arial" w:hAnsi="Arial"/>
                <w:sz w:val="14"/>
                <w:szCs w:val="14"/>
                <w:b w:val="1"/>
                <w:bCs w:val="1"/>
                <w:color w:val="auto"/>
              </w:rPr>
              <w:t>Expiration dates</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in 2016 and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2036 to December 2037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Issued in 2018 and 2019</w:t>
            </w:r>
          </w:p>
        </w:tc>
        <w:tc>
          <w:tcPr>
            <w:tcW w:w="780" w:type="dxa"/>
            <w:vAlign w:val="bottom"/>
          </w:tcPr>
          <w:p>
            <w:pPr>
              <w:jc w:val="right"/>
              <w:spacing w:after="0"/>
              <w:rPr>
                <w:sz w:val="20"/>
                <w:szCs w:val="20"/>
                <w:color w:val="auto"/>
              </w:rPr>
            </w:pPr>
            <w:r>
              <w:rPr>
                <w:rFonts w:ascii="Arial" w:cs="Arial" w:eastAsia="Arial" w:hAnsi="Arial"/>
                <w:sz w:val="18"/>
                <w:szCs w:val="18"/>
                <w:color w:val="auto"/>
              </w:rPr>
              <w:t>87,716</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600" w:type="dxa"/>
            <w:vAlign w:val="bottom"/>
          </w:tcPr>
          <w:p>
            <w:pPr>
              <w:spacing w:after="0"/>
              <w:rPr>
                <w:sz w:val="18"/>
                <w:szCs w:val="18"/>
                <w:color w:val="auto"/>
              </w:rPr>
            </w:pPr>
          </w:p>
        </w:tc>
        <w:tc>
          <w:tcPr>
            <w:tcW w:w="23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March 2038 to October 2039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Issued in 2019 to Related Party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6"/>
              </w:rPr>
              <w:t>April 2039</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Issued as part of Series A to Related Party in</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2020</w:t>
            </w:r>
          </w:p>
        </w:tc>
        <w:tc>
          <w:tcPr>
            <w:tcW w:w="780" w:type="dxa"/>
            <w:vAlign w:val="bottom"/>
          </w:tcPr>
          <w:p>
            <w:pPr>
              <w:jc w:val="right"/>
              <w:spacing w:after="0"/>
              <w:rPr>
                <w:sz w:val="20"/>
                <w:szCs w:val="20"/>
                <w:color w:val="auto"/>
              </w:rPr>
            </w:pPr>
            <w:r>
              <w:rPr>
                <w:rFonts w:ascii="Arial" w:cs="Arial" w:eastAsia="Arial" w:hAnsi="Arial"/>
                <w:sz w:val="18"/>
                <w:szCs w:val="18"/>
                <w:color w:val="auto"/>
              </w:rPr>
              <w:t>52,680</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600" w:type="dxa"/>
            <w:vAlign w:val="bottom"/>
          </w:tcPr>
          <w:p>
            <w:pPr>
              <w:spacing w:after="0"/>
              <w:rPr>
                <w:sz w:val="20"/>
                <w:szCs w:val="20"/>
                <w:color w:val="auto"/>
              </w:rPr>
            </w:pPr>
          </w:p>
        </w:tc>
        <w:tc>
          <w:tcPr>
            <w:tcW w:w="230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December 2025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Issued as part of the Series A in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128,368</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February to March 2026</w:t>
            </w:r>
          </w:p>
        </w:tc>
      </w:tr>
      <w:tr>
        <w:trPr>
          <w:trHeight w:val="223"/>
        </w:trPr>
        <w:tc>
          <w:tcPr>
            <w:tcW w:w="40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288,476</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Unit-based Compensation</w:t>
      </w:r>
    </w:p>
    <w:p>
      <w:pPr>
        <w:spacing w:after="0" w:line="1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The Company’s 2015 Equity Incentive Plan (the “2015 Plan”) authorizes the board of managers or a committee of the board of managers to grant options to acquire Common Member Units (“unit-based awards”), to eligible employees, outside directors and consultants of the Company. The 2015 Plan reserves 166,666 units for issuance. As of March 31, 2021, 139,336 units remained available for future grants.</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Unit-based awards generally vest over a period of one to three years, and units-based awards that lapse or are forfeited are available to be granted again. The contractual life of all unit-based awards is ten years. The expiration dates of the outstanding unit-based awards range from January 2028 to February 2031.</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measures unit-based awards at their grant-date fair value and records compensation expense on a straight-line basis over the service period of the awards. Unit-based compensation is allocated to employees and consultants based on their respective departments. All board of directors’ compensation is charged to general and administrative expense.</w:t>
      </w:r>
    </w:p>
    <w:p>
      <w:pPr>
        <w:spacing w:after="0" w:line="184"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The Company recorded unit-based compensation expense of $7,000 and $6,000 in research and development and general and administrative expense, respectively, during the three months ended March 31, 2020. The Company recorded unit-based compensation expense of $20,000 and $2,000 in research and development and general and administrative expense, respectively, during the three months ended March 31, 2021.</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unit-based awards granted to employees during the three months ended March 31, 2020 and 2021, respectively,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96.39%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98.26%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Risk free rate</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1.43%</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0.65%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5.23</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Dividend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units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13.55</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60" w:type="dxa"/>
            <w:vAlign w:val="bottom"/>
            <w:gridSpan w:val="6"/>
          </w:tcPr>
          <w:p>
            <w:pPr>
              <w:spacing w:after="0"/>
              <w:rPr>
                <w:sz w:val="20"/>
                <w:szCs w:val="20"/>
                <w:color w:val="auto"/>
              </w:rPr>
            </w:pPr>
            <w:r>
              <w:rPr>
                <w:rFonts w:ascii="Arial" w:cs="Arial" w:eastAsia="Arial" w:hAnsi="Arial"/>
                <w:sz w:val="18"/>
                <w:szCs w:val="18"/>
                <w:color w:val="auto"/>
                <w:w w:val="95"/>
              </w:rPr>
              <w:t>The following table summarizes the unit-based award activity for the periods presented:</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3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Number of Units</w:t>
            </w:r>
          </w:p>
        </w:tc>
        <w:tc>
          <w:tcPr>
            <w:tcW w:w="2160" w:type="dxa"/>
            <w:vAlign w:val="bottom"/>
            <w:gridSpan w:val="6"/>
          </w:tcPr>
          <w:p>
            <w:pPr>
              <w:ind w:left="320"/>
              <w:spacing w:after="0" w:line="149" w:lineRule="exact"/>
              <w:rPr>
                <w:sz w:val="20"/>
                <w:szCs w:val="20"/>
                <w:color w:val="auto"/>
              </w:rPr>
            </w:pPr>
            <w:r>
              <w:rPr>
                <w:rFonts w:ascii="Arial" w:cs="Arial" w:eastAsia="Arial" w:hAnsi="Arial"/>
                <w:sz w:val="14"/>
                <w:szCs w:val="14"/>
                <w:b w:val="1"/>
                <w:bCs w:val="1"/>
                <w:color w:val="auto"/>
              </w:rPr>
              <w:t>Exercise Price Per</w:t>
            </w:r>
          </w:p>
        </w:tc>
        <w:tc>
          <w:tcPr>
            <w:tcW w:w="140" w:type="dxa"/>
            <w:vAlign w:val="bottom"/>
          </w:tcPr>
          <w:p>
            <w:pPr>
              <w:spacing w:after="0"/>
              <w:rPr>
                <w:sz w:val="12"/>
                <w:szCs w:val="12"/>
                <w:color w:val="auto"/>
              </w:rPr>
            </w:pPr>
          </w:p>
        </w:tc>
        <w:tc>
          <w:tcPr>
            <w:tcW w:w="1180" w:type="dxa"/>
            <w:vAlign w:val="bottom"/>
            <w:gridSpan w:val="5"/>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Contractual Term</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Unit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24,830</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Pr>
          <w:p>
            <w:pPr>
              <w:spacing w:after="0"/>
              <w:rPr>
                <w:sz w:val="19"/>
                <w:szCs w:val="19"/>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3"/>
          </w:tcPr>
          <w:p>
            <w:pPr>
              <w:ind w:left="880"/>
              <w:spacing w:after="0"/>
              <w:rPr>
                <w:sz w:val="20"/>
                <w:szCs w:val="20"/>
                <w:color w:val="auto"/>
              </w:rPr>
            </w:pPr>
            <w:r>
              <w:rPr>
                <w:rFonts w:ascii="Arial" w:cs="Arial" w:eastAsia="Arial" w:hAnsi="Arial"/>
                <w:sz w:val="18"/>
                <w:szCs w:val="18"/>
                <w:color w:val="auto"/>
              </w:rPr>
              <w:t>Exercisable at March 31, 2021</w:t>
            </w:r>
          </w:p>
        </w:tc>
        <w:tc>
          <w:tcPr>
            <w:tcW w:w="4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18,286</w:t>
            </w:r>
          </w:p>
        </w:tc>
        <w:tc>
          <w:tcPr>
            <w:tcW w:w="500" w:type="dxa"/>
            <w:vAlign w:val="bottom"/>
          </w:tcPr>
          <w:p>
            <w:pPr>
              <w:spacing w:after="0"/>
              <w:rPr>
                <w:sz w:val="20"/>
                <w:szCs w:val="20"/>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March 31, 2021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weighted average fair value of unit-based awards granted during the three months ended March 31, 2020 and 2021 was $10.32 and $0.95, respectively. As of March 31, 2021, the unrecognized compensation cost related to outstanding unit-based awards was $0.1 million and is expected to be recognized as expense over a weighted-average period of approximately 1.01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Member Units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issues restricted member units (“RMU”) to employees and consultants that generally vest monthly over one to three-year periods. The fair value of an RMU is equal to the fair market value price of the Company’s Common Member Unit on the date of grant. RMU expense is amortized straight-line over the service period.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activity related to RMU unit-based payment awards: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RMUs</w:t>
            </w:r>
          </w:p>
        </w:tc>
        <w:tc>
          <w:tcPr>
            <w:tcW w:w="8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January 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50,096</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Unvested balance at March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45,922</w:t>
            </w:r>
          </w:p>
        </w:tc>
        <w:tc>
          <w:tcPr>
            <w:tcW w:w="20" w:type="dxa"/>
            <w:vAlign w:val="bottom"/>
            <w:tcBorders>
              <w:bottom w:val="single" w:sz="8" w:color="auto"/>
            </w:tcBorders>
          </w:tcPr>
          <w:p>
            <w:pPr>
              <w:spacing w:after="0"/>
              <w:rPr>
                <w:sz w:val="19"/>
                <w:szCs w:val="19"/>
                <w:color w:val="auto"/>
              </w:rPr>
            </w:pP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recorded unit-based compensation expense of $4,000 in research and development expense for the three months ended March 31, 2021 related to RMUs. As of March 31, 2021, the total unrecognized expense related to all RMUs was $0.1 million, which the Company expects to recognize over a weighted-average period of 2.00 years.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CONTEXT THERAPEUTICS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Since inception through March 31, 2021, the Company entered into various convertible note agreements with the Related Party. The terms of the convertible notes and their subsequent conversions are further described in more detail in Note 5 and Note 6.</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preparing the unaudited condensed consolidated financial statements as of and for the three months ended March 31, 2021, the Company evaluated subsequent events for recognition and measurement purposes through April 30, 2021, the date at which the unaudited interim consolidated financial statements were issued. The Company has concluded that no events or transactions have occurred that require disclosure in the accompanying condensed consolidated financial statements other than those listed below.</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April 2021, the Company entered into a collaboration and licensing agreement with Integral Molecular, Inc. (“Integral”) for the development of an anti-claudin 6 (“CLDN6”) bispecific monoclonal antibody (“BsMAb”) for gynecologic cancer therapy. Under the terms of the agreement, Integral and the Company will develop CLDN6 bispecific antibodies that trigger the activation of T cells and eliminate cancer cells displaying CLND6. The Company will conduct preclinical and all clinical development, as well as regulatory and commercial activities through exclusive worldwide rights to develop and commercialize the novel CLDN6 candidates. The Company paid an upfront license fee of $0.3 million and granted 418,559 Series A Units with a fair market value of approximately $2.8 million. As a part of the agreement, Integral will be eligible to receive development and regulatory milestone payments totaling up to $55.3 million, sales milestone payments totaling up to $130 million, and tiered royalties of up to 12% of net sales of certain products developed under this agreement.</w:t>
      </w:r>
    </w:p>
    <w:p>
      <w:pPr>
        <w:spacing w:after="0" w:line="178"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During April 2021, the Company raised $2.0 million of gross proceeds from the sale of 285,351 Series A Units and 71,334 warrants to purchase common member units at an exercise price of $7.168 to the Series A Unit holders as part of the Series A Unit financing.</w:t>
      </w:r>
    </w:p>
    <w:p>
      <w:pPr>
        <w:spacing w:after="0" w:line="1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April, 2021, Context Therapeutics Inc. adopted the 2021 Long-Term Incentive Plan (“2021 Incentive Plan”). Under the 2021 Incentive Plan, Context Therapeutics Inc. can grant stock options, stock appreciation rights, restricted stock, restricted stock units and stock grants. There are 1,266,092 shares of common stock (the “Share Limit”) for issuance under the 2021 Incentive Plan and the Share Limit will automatically increase on January 1st of each year, during the term of the 2021 Incentive Plan, commencing on January 1 of the year following the year in which the effective date occurs, in an amount equal to four percent (4%) of the total number of shares of Context Therapeutics Inc.’s common stock outstanding on December 31st of the preceding calendar year; provided that the Board may determine that there will be no such increase or a smaller increase for any particular year. During April 2021, 409,107 stock options were granted to management and members of the board with an exercise price of $1.74.</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40"/>
          </w:cols>
          <w:pgMar w:left="320" w:top="459" w:right="5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1,500,000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174625</wp:posOffset>
            </wp:positionV>
            <wp:extent cx="2288540" cy="7543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885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Context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403225</wp:posOffset>
            </wp:positionV>
            <wp:extent cx="1474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ThinkEquity</w:t>
      </w:r>
    </w:p>
    <w:p>
      <w:pPr>
        <w:spacing w:after="0" w:line="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 division of Fordham Financial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Through and including , 2021 (the 25th day after the date of this offering),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0940"/>
          </w:cols>
          <w:pgMar w:left="320" w:top="459" w:right="6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solely by us in connection with the sale of the securities being registered hereby. All amounts, other than the SEC registration fee, the Nasdaq listing fee and FINRA filing fee, are estimates.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3,623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975,000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Printing and related fees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Advisory fees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547,500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46,242</w:t>
            </w:r>
          </w:p>
        </w:tc>
      </w:tr>
      <w:tr>
        <w:trPr>
          <w:trHeight w:val="224"/>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2,100,000</w:t>
            </w:r>
          </w:p>
        </w:tc>
        <w:tc>
          <w:tcPr>
            <w:tcW w:w="60" w:type="dxa"/>
            <w:vAlign w:val="bottom"/>
          </w:tcPr>
          <w:p>
            <w:pPr>
              <w:spacing w:after="0"/>
              <w:rPr>
                <w:sz w:val="19"/>
                <w:szCs w:val="19"/>
                <w:color w:val="auto"/>
              </w:rPr>
            </w:pPr>
          </w:p>
        </w:tc>
      </w:tr>
    </w:tbl>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provided by amendment.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Section 145 of the General Corporation Law of the State of Delaware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amended &amp; restated certificate of incorporation and amended &amp; restated bylaws will provide for indemnification of directors and officers to the fullest extent permitted by law, including payment of expenses in advance of resolution of any such matter.</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intend to enter into separate indemnification agreements with our directors and officers. Each indemnification agreement will provide, among other things, for indemnification to the fullest extent permitted by law and our amended &amp; restated certificate of incorporation and amended &amp; restated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amended &amp; restated certificate of incorporation and amended &amp; restated bylaws.</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rising from claims made by reason of breach of duty or other wrongful act, and (b) to us with respect to payments which we may make to such officers and directors pursuant to the above indemnification provision or otherwise as a matter of law.</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past three years, we issued the following securities, which were not registered under the Securities Act of 1933, as amended.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Starting in December 2017, we sold convertible promissory notes to certain investors to help finance our operations in amounts ranging from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$20,000 to $500,000, earning annual interest at 6% and all maturing on November 31, 2019. Starting in November 2018, we sold convertible promissory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to help finance our operations in amounts ranging from $25,000 to $320,000, earning annual interest at 6% and all maturing on November 9,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notes were convertible into shares issued in our next financing (as defined in the notes) by dividing the total amount of convertible promissory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plus accrued interest, by the applicable conversion price (defined generally as 80% of the lowest per share selling price in the next financing).</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1, 2020, the Company entered into a Note Amendment and Exchange Agreement to exchange certain convertible notes held by</w:t>
      </w:r>
    </w:p>
    <w:p>
      <w:pPr>
        <w:spacing w:after="0" w:line="35" w:lineRule="exact"/>
        <w:rPr>
          <w:sz w:val="20"/>
          <w:szCs w:val="20"/>
          <w:color w:val="auto"/>
        </w:rPr>
      </w:pPr>
    </w:p>
    <w:p>
      <w:pPr>
        <w:ind w:left="120" w:right="120" w:hanging="4"/>
        <w:spacing w:after="0" w:line="253"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Martin Lehr, the Company’s Chief Executive Officer, (ii) Seth Lehr, father of Martin Lehr, and (iii) and certain holders of the 2017 Notes and the 2018 Notes, in each case for new Senior Secured Convertible Notes. The aggregate principal amount of the new Senior Secured Convertible Notes was $5,749,986. The outstanding principal amount of such notes, together with all accrued but unpaid interest thereon, was due and payable on December 31, 2021. The notes accrued interest at a rate of 6.00% per annum.</w:t>
      </w:r>
    </w:p>
    <w:p>
      <w:pPr>
        <w:spacing w:after="0" w:line="193"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On February 18, 2021, following the issuance of shares of Series A Preferred Units described below, the outstanding principal and accrued interest of our outstanding notes was converted into shares of Series A Preferred Units. At the time of conversion, the outstanding principal and accrued interest of the notes totaled approximately $6,055,287. Accordingly, the notes were converted into an aggregate of 844,824 shares of Series A Preferred Units at a conversion price of $7.168 per share.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Seed Convertible Preferred Units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May 2020, the Company converted $11.7 million of principal and interest related to certain Junior Convertible Notes of the Company into 2,615,553 Series Seed Preferred Units at prices ranging from $4.28 to $4.56 per unit.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May 1, 2020, the Company entered into a Series Seed Purchase Agreement with Martin Lehr for the sale of 8,771 of its Series Seed Preferred Units at a price of $5.70 per unit for an aggregate purchase price of $50,000.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A Convertible Preferred Units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December 22, 2020, the Company entered into a Series A Unit Purchase Agreement with certain investors for the sale of its Series A Preferred Units at a price of $7.16 per unit. On December 22, 2020 we sold an aggregate of 132,537 Series A Preferred Units for total gross proceeds of approximately $950,000. In addition, Convertible Bridge Notes with a principal balance of $525,000 and accrued but unpaid interest of approximately $35,000 converted into 78,178 Series A Preferred Units. In February and March 2021, the Company sold 453,094 Series A Units for $7.168 per unit for gross proceeds of $3,247,599. In April 2021, the Company sold 285,351 Series A units for $7.168 per unit for gross proceeds of $2,045,257.</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also issued certain investors a warrant to purchase 0.25 shares of common stock for each Series A Preferred Unit purchased, or warrants for an aggregate of 237,277 common units of the Company. The warrants have an exercise price of $7.168 per common unit and expire five years after the date of issuance.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No underwriters were involved in these issuances. We believe that each of the above issuances was exempt from registration under the Securities Act in reliance on Regulation S under the Securities Act or pursuant to Section 4(2) of the Securities Act regarding transactions not involving a public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Exhibits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19"/>
          </w:tcPr>
          <w:p>
            <w:pPr>
              <w:ind w:left="74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860" w:type="dxa"/>
            <w:vAlign w:val="bottom"/>
          </w:tcPr>
          <w:p>
            <w:pPr>
              <w:jc w:val="right"/>
              <w:ind w:right="1371"/>
              <w:spacing w:after="0"/>
              <w:rPr>
                <w:sz w:val="20"/>
                <w:szCs w:val="20"/>
                <w:color w:val="auto"/>
              </w:rPr>
            </w:pPr>
            <w:r>
              <w:rPr>
                <w:rFonts w:ascii="Arial" w:cs="Arial" w:eastAsia="Arial" w:hAnsi="Arial"/>
                <w:sz w:val="18"/>
                <w:szCs w:val="18"/>
                <w:color w:val="auto"/>
              </w:rPr>
              <w:t>1.1*</w:t>
            </w:r>
          </w:p>
        </w:tc>
        <w:tc>
          <w:tcPr>
            <w:tcW w:w="9160" w:type="dxa"/>
            <w:vAlign w:val="bottom"/>
            <w:gridSpan w:val="30"/>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Form of Underwriting Agreement.</w:t>
              </w:r>
            </w:hyperlink>
          </w:p>
        </w:tc>
      </w:tr>
      <w:tr>
        <w:trPr>
          <w:trHeight w:val="20"/>
        </w:trPr>
        <w:tc>
          <w:tcPr>
            <w:tcW w:w="18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3.1***</w:t>
            </w:r>
          </w:p>
        </w:tc>
        <w:tc>
          <w:tcPr>
            <w:tcW w:w="5700" w:type="dxa"/>
            <w:vAlign w:val="bottom"/>
            <w:tcBorders>
              <w:bottom w:val="single" w:sz="8" w:color="0000EE"/>
            </w:tcBorders>
            <w:gridSpan w:val="15"/>
          </w:tcPr>
          <w:p>
            <w:pPr>
              <w:spacing w:after="0"/>
              <w:rPr>
                <w:rFonts w:ascii="Arial" w:cs="Arial" w:eastAsia="Arial" w:hAnsi="Arial"/>
                <w:sz w:val="18"/>
                <w:szCs w:val="18"/>
                <w:color w:val="0000EE"/>
                <w:w w:val="92"/>
              </w:rPr>
            </w:pPr>
            <w:hyperlink r:id="rId252">
              <w:r>
                <w:rPr>
                  <w:rFonts w:ascii="Arial" w:cs="Arial" w:eastAsia="Arial" w:hAnsi="Arial"/>
                  <w:sz w:val="18"/>
                  <w:szCs w:val="18"/>
                  <w:color w:val="0000EE"/>
                  <w:w w:val="92"/>
                </w:rPr>
                <w:t>Certificate of Incorporation of Context Therapeutics Inc., as currently in effect.</w:t>
              </w:r>
            </w:hyperlink>
          </w:p>
        </w:tc>
        <w:tc>
          <w:tcPr>
            <w:tcW w:w="3460" w:type="dxa"/>
            <w:vAlign w:val="bottom"/>
            <w:gridSpan w:val="15"/>
          </w:tcPr>
          <w:p>
            <w:pPr>
              <w:spacing w:after="0"/>
              <w:rPr>
                <w:sz w:val="24"/>
                <w:szCs w:val="24"/>
                <w:color w:val="auto"/>
              </w:rPr>
            </w:pPr>
          </w:p>
        </w:tc>
      </w:tr>
      <w:tr>
        <w:trPr>
          <w:trHeight w:val="304"/>
        </w:trPr>
        <w:tc>
          <w:tcPr>
            <w:tcW w:w="1860" w:type="dxa"/>
            <w:vAlign w:val="bottom"/>
          </w:tcPr>
          <w:p>
            <w:pPr>
              <w:jc w:val="right"/>
              <w:ind w:right="1371"/>
              <w:spacing w:after="0"/>
              <w:rPr>
                <w:sz w:val="20"/>
                <w:szCs w:val="20"/>
                <w:color w:val="auto"/>
              </w:rPr>
            </w:pPr>
            <w:r>
              <w:rPr>
                <w:rFonts w:ascii="Arial" w:cs="Arial" w:eastAsia="Arial" w:hAnsi="Arial"/>
                <w:sz w:val="18"/>
                <w:szCs w:val="18"/>
                <w:color w:val="auto"/>
              </w:rPr>
              <w:t>3.2*</w:t>
            </w:r>
          </w:p>
        </w:tc>
        <w:tc>
          <w:tcPr>
            <w:tcW w:w="9160" w:type="dxa"/>
            <w:vAlign w:val="bottom"/>
            <w:gridSpan w:val="30"/>
          </w:tcPr>
          <w:p>
            <w:pPr>
              <w:spacing w:after="0"/>
              <w:rPr>
                <w:rFonts w:ascii="Arial" w:cs="Arial" w:eastAsia="Arial" w:hAnsi="Arial"/>
                <w:sz w:val="18"/>
                <w:szCs w:val="18"/>
                <w:color w:val="0000EE"/>
              </w:rPr>
            </w:pPr>
            <w:hyperlink w:anchor="page262">
              <w:r>
                <w:rPr>
                  <w:rFonts w:ascii="Arial" w:cs="Arial" w:eastAsia="Arial" w:hAnsi="Arial"/>
                  <w:sz w:val="18"/>
                  <w:szCs w:val="18"/>
                  <w:color w:val="0000EE"/>
                </w:rPr>
                <w:t>Certificate of Amendment to the Certificate of Incorporation.</w:t>
              </w:r>
            </w:hyperlink>
          </w:p>
        </w:tc>
      </w:tr>
      <w:tr>
        <w:trPr>
          <w:trHeight w:val="20"/>
        </w:trPr>
        <w:tc>
          <w:tcPr>
            <w:tcW w:w="18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3.3***</w:t>
            </w:r>
          </w:p>
        </w:tc>
        <w:tc>
          <w:tcPr>
            <w:tcW w:w="9160" w:type="dxa"/>
            <w:vAlign w:val="bottom"/>
            <w:gridSpan w:val="30"/>
          </w:tcPr>
          <w:p>
            <w:pPr>
              <w:spacing w:after="0"/>
              <w:rPr>
                <w:rFonts w:ascii="Arial" w:cs="Arial" w:eastAsia="Arial" w:hAnsi="Arial"/>
                <w:sz w:val="18"/>
                <w:szCs w:val="18"/>
                <w:color w:val="0000EE"/>
                <w:w w:val="94"/>
              </w:rPr>
            </w:pPr>
            <w:hyperlink r:id="rId253">
              <w:r>
                <w:rPr>
                  <w:rFonts w:ascii="Arial" w:cs="Arial" w:eastAsia="Arial" w:hAnsi="Arial"/>
                  <w:sz w:val="18"/>
                  <w:szCs w:val="18"/>
                  <w:color w:val="0000EE"/>
                  <w:w w:val="94"/>
                </w:rPr>
                <w:t>Form of Amended &amp; Restated Certificate of Incorporation of Context Therapeutics Inc., to be effective immediately prior to</w:t>
              </w:r>
            </w:hyperlink>
          </w:p>
        </w:tc>
      </w:tr>
      <w:tr>
        <w:trPr>
          <w:trHeight w:val="196"/>
        </w:trPr>
        <w:tc>
          <w:tcPr>
            <w:tcW w:w="186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the completion of this offering.</w:t>
              </w:r>
            </w:hyperlink>
          </w:p>
        </w:tc>
        <w:tc>
          <w:tcPr>
            <w:tcW w:w="6700" w:type="dxa"/>
            <w:vAlign w:val="bottom"/>
            <w:tcBorders>
              <w:top w:val="single" w:sz="8" w:color="0000EE"/>
            </w:tcBorders>
            <w:gridSpan w:val="22"/>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3.4***</w:t>
            </w:r>
          </w:p>
        </w:tc>
        <w:tc>
          <w:tcPr>
            <w:tcW w:w="4280" w:type="dxa"/>
            <w:vAlign w:val="bottom"/>
            <w:tcBorders>
              <w:bottom w:val="single" w:sz="8" w:color="0000EE"/>
            </w:tcBorders>
            <w:gridSpan w:val="13"/>
          </w:tcPr>
          <w:p>
            <w:pPr>
              <w:spacing w:after="0"/>
              <w:rPr>
                <w:rFonts w:ascii="Arial" w:cs="Arial" w:eastAsia="Arial" w:hAnsi="Arial"/>
                <w:sz w:val="18"/>
                <w:szCs w:val="18"/>
                <w:color w:val="0000EE"/>
                <w:w w:val="91"/>
              </w:rPr>
            </w:pPr>
            <w:hyperlink r:id="rId254">
              <w:r>
                <w:rPr>
                  <w:rFonts w:ascii="Arial" w:cs="Arial" w:eastAsia="Arial" w:hAnsi="Arial"/>
                  <w:sz w:val="18"/>
                  <w:szCs w:val="18"/>
                  <w:color w:val="0000EE"/>
                  <w:w w:val="91"/>
                </w:rPr>
                <w:t>Bylaws of Context Therapeutics Inc., as currently in effect.</w:t>
              </w:r>
            </w:hyperlink>
          </w:p>
        </w:tc>
        <w:tc>
          <w:tcPr>
            <w:tcW w:w="4880" w:type="dxa"/>
            <w:vAlign w:val="bottom"/>
            <w:gridSpan w:val="17"/>
          </w:tcPr>
          <w:p>
            <w:pPr>
              <w:spacing w:after="0"/>
              <w:rPr>
                <w:sz w:val="24"/>
                <w:szCs w:val="24"/>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3.5***</w:t>
            </w:r>
          </w:p>
        </w:tc>
        <w:tc>
          <w:tcPr>
            <w:tcW w:w="9160" w:type="dxa"/>
            <w:vAlign w:val="bottom"/>
            <w:gridSpan w:val="30"/>
          </w:tcPr>
          <w:p>
            <w:pPr>
              <w:spacing w:after="0"/>
              <w:rPr>
                <w:rFonts w:ascii="Arial" w:cs="Arial" w:eastAsia="Arial" w:hAnsi="Arial"/>
                <w:sz w:val="18"/>
                <w:szCs w:val="18"/>
                <w:color w:val="0000EE"/>
                <w:w w:val="92"/>
              </w:rPr>
            </w:pPr>
            <w:hyperlink r:id="rId255">
              <w:r>
                <w:rPr>
                  <w:rFonts w:ascii="Arial" w:cs="Arial" w:eastAsia="Arial" w:hAnsi="Arial"/>
                  <w:sz w:val="18"/>
                  <w:szCs w:val="18"/>
                  <w:color w:val="0000EE"/>
                  <w:w w:val="92"/>
                </w:rPr>
                <w:t>Form of Amended &amp; Restated Bylaws of Context Therapeutics Inc., to be effective immediately prior to the completion of this</w:t>
              </w:r>
            </w:hyperlink>
          </w:p>
        </w:tc>
      </w:tr>
      <w:tr>
        <w:trPr>
          <w:trHeight w:val="196"/>
        </w:trPr>
        <w:tc>
          <w:tcPr>
            <w:tcW w:w="1860" w:type="dxa"/>
            <w:vAlign w:val="bottom"/>
          </w:tcPr>
          <w:p>
            <w:pPr>
              <w:spacing w:after="0"/>
              <w:rPr>
                <w:sz w:val="17"/>
                <w:szCs w:val="17"/>
                <w:color w:val="auto"/>
              </w:rPr>
            </w:pPr>
          </w:p>
        </w:tc>
        <w:tc>
          <w:tcPr>
            <w:tcW w:w="91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offering.</w:t>
              </w:r>
            </w:hyperlink>
          </w:p>
        </w:tc>
        <w:tc>
          <w:tcPr>
            <w:tcW w:w="4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4.1***</w:t>
            </w:r>
          </w:p>
        </w:tc>
        <w:tc>
          <w:tcPr>
            <w:tcW w:w="3260" w:type="dxa"/>
            <w:vAlign w:val="bottom"/>
            <w:tcBorders>
              <w:bottom w:val="single" w:sz="8" w:color="0000EE"/>
            </w:tcBorders>
            <w:gridSpan w:val="9"/>
          </w:tcPr>
          <w:p>
            <w:pPr>
              <w:spacing w:after="0"/>
              <w:rPr>
                <w:rFonts w:ascii="Arial" w:cs="Arial" w:eastAsia="Arial" w:hAnsi="Arial"/>
                <w:sz w:val="18"/>
                <w:szCs w:val="18"/>
                <w:color w:val="0000EE"/>
                <w:w w:val="92"/>
              </w:rPr>
            </w:pPr>
            <w:hyperlink r:id="rId256">
              <w:r>
                <w:rPr>
                  <w:rFonts w:ascii="Arial" w:cs="Arial" w:eastAsia="Arial" w:hAnsi="Arial"/>
                  <w:sz w:val="18"/>
                  <w:szCs w:val="18"/>
                  <w:color w:val="0000EE"/>
                  <w:w w:val="92"/>
                </w:rPr>
                <w:t>Form of Stock Certificate of Common Stock.</w:t>
              </w:r>
            </w:hyperlink>
          </w:p>
        </w:tc>
        <w:tc>
          <w:tcPr>
            <w:tcW w:w="5900" w:type="dxa"/>
            <w:vAlign w:val="bottom"/>
            <w:gridSpan w:val="21"/>
          </w:tcPr>
          <w:p>
            <w:pPr>
              <w:spacing w:after="0"/>
              <w:rPr>
                <w:sz w:val="24"/>
                <w:szCs w:val="24"/>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4.2***</w:t>
            </w:r>
          </w:p>
        </w:tc>
        <w:tc>
          <w:tcPr>
            <w:tcW w:w="9160" w:type="dxa"/>
            <w:vAlign w:val="bottom"/>
            <w:gridSpan w:val="30"/>
          </w:tcPr>
          <w:p>
            <w:pPr>
              <w:spacing w:after="0"/>
              <w:rPr>
                <w:rFonts w:ascii="Arial" w:cs="Arial" w:eastAsia="Arial" w:hAnsi="Arial"/>
                <w:sz w:val="18"/>
                <w:szCs w:val="18"/>
                <w:color w:val="0000EE"/>
              </w:rPr>
            </w:pPr>
            <w:hyperlink r:id="rId257">
              <w:r>
                <w:rPr>
                  <w:rFonts w:ascii="Arial" w:cs="Arial" w:eastAsia="Arial" w:hAnsi="Arial"/>
                  <w:sz w:val="18"/>
                  <w:szCs w:val="18"/>
                  <w:color w:val="0000EE"/>
                </w:rPr>
                <w:t>Investors’ Rights Agreement, dated December 22, 2020, among Context Therapeutics LLC and certain investors.</w:t>
              </w:r>
            </w:hyperlink>
          </w:p>
        </w:tc>
      </w:tr>
      <w:tr>
        <w:trPr>
          <w:trHeight w:val="20"/>
        </w:trPr>
        <w:tc>
          <w:tcPr>
            <w:tcW w:w="18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4.3***</w:t>
            </w:r>
          </w:p>
        </w:tc>
        <w:tc>
          <w:tcPr>
            <w:tcW w:w="8720" w:type="dxa"/>
            <w:vAlign w:val="bottom"/>
            <w:tcBorders>
              <w:bottom w:val="single" w:sz="8" w:color="0000EE"/>
            </w:tcBorders>
            <w:gridSpan w:val="25"/>
          </w:tcPr>
          <w:p>
            <w:pPr>
              <w:spacing w:after="0"/>
              <w:rPr>
                <w:rFonts w:ascii="Arial" w:cs="Arial" w:eastAsia="Arial" w:hAnsi="Arial"/>
                <w:sz w:val="18"/>
                <w:szCs w:val="18"/>
                <w:color w:val="0000EE"/>
                <w:w w:val="90"/>
              </w:rPr>
            </w:pPr>
            <w:hyperlink r:id="rId258">
              <w:r>
                <w:rPr>
                  <w:rFonts w:ascii="Arial" w:cs="Arial" w:eastAsia="Arial" w:hAnsi="Arial"/>
                  <w:sz w:val="18"/>
                  <w:szCs w:val="18"/>
                  <w:color w:val="0000EE"/>
                  <w:w w:val="90"/>
                </w:rPr>
                <w:t>Right of First Refusal and Co-Sale Agreement, dated December 22, 2020, among Context Therapeutics LLC and certain</w:t>
              </w:r>
            </w:hyperlink>
          </w:p>
        </w:tc>
        <w:tc>
          <w:tcPr>
            <w:tcW w:w="440" w:type="dxa"/>
            <w:vAlign w:val="bottom"/>
            <w:gridSpan w:val="5"/>
          </w:tcPr>
          <w:p>
            <w:pPr>
              <w:spacing w:after="0"/>
              <w:rPr>
                <w:sz w:val="24"/>
                <w:szCs w:val="24"/>
                <w:color w:val="auto"/>
              </w:rPr>
            </w:pPr>
          </w:p>
        </w:tc>
      </w:tr>
      <w:tr>
        <w:trPr>
          <w:trHeight w:val="196"/>
        </w:trPr>
        <w:tc>
          <w:tcPr>
            <w:tcW w:w="18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58">
              <w:r>
                <w:rPr>
                  <w:rFonts w:ascii="Arial" w:cs="Arial" w:eastAsia="Arial" w:hAnsi="Arial"/>
                  <w:sz w:val="18"/>
                  <w:szCs w:val="18"/>
                  <w:color w:val="0000EE"/>
                  <w:w w:val="88"/>
                </w:rPr>
                <w:t>investors.</w:t>
              </w:r>
            </w:hyperlink>
          </w:p>
        </w:tc>
        <w:tc>
          <w:tcPr>
            <w:tcW w:w="8460" w:type="dxa"/>
            <w:vAlign w:val="bottom"/>
            <w:gridSpan w:val="28"/>
          </w:tcPr>
          <w:p>
            <w:pPr>
              <w:spacing w:after="0"/>
              <w:rPr>
                <w:sz w:val="17"/>
                <w:szCs w:val="17"/>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rPr>
              <w:t>4.4***</w:t>
            </w:r>
          </w:p>
        </w:tc>
        <w:tc>
          <w:tcPr>
            <w:tcW w:w="7400" w:type="dxa"/>
            <w:vAlign w:val="bottom"/>
            <w:tcBorders>
              <w:bottom w:val="single" w:sz="8" w:color="0000EE"/>
            </w:tcBorders>
            <w:gridSpan w:val="19"/>
          </w:tcPr>
          <w:p>
            <w:pPr>
              <w:spacing w:after="0"/>
              <w:rPr>
                <w:rFonts w:ascii="Arial" w:cs="Arial" w:eastAsia="Arial" w:hAnsi="Arial"/>
                <w:sz w:val="18"/>
                <w:szCs w:val="18"/>
                <w:color w:val="0000EE"/>
                <w:w w:val="90"/>
              </w:rPr>
            </w:pPr>
            <w:hyperlink r:id="rId259">
              <w:r>
                <w:rPr>
                  <w:rFonts w:ascii="Arial" w:cs="Arial" w:eastAsia="Arial" w:hAnsi="Arial"/>
                  <w:sz w:val="18"/>
                  <w:szCs w:val="18"/>
                  <w:color w:val="0000EE"/>
                  <w:w w:val="90"/>
                </w:rPr>
                <w:t>Voting Agreement, dated December 22, 2020, among Context Therapeutics LLC and certain investors.</w:t>
              </w:r>
            </w:hyperlink>
          </w:p>
        </w:tc>
        <w:tc>
          <w:tcPr>
            <w:tcW w:w="1760" w:type="dxa"/>
            <w:vAlign w:val="bottom"/>
            <w:gridSpan w:val="11"/>
          </w:tcPr>
          <w:p>
            <w:pPr>
              <w:spacing w:after="0"/>
              <w:rPr>
                <w:sz w:val="24"/>
                <w:szCs w:val="24"/>
                <w:color w:val="auto"/>
              </w:rPr>
            </w:pPr>
          </w:p>
        </w:tc>
      </w:tr>
      <w:tr>
        <w:trPr>
          <w:trHeight w:val="304"/>
        </w:trPr>
        <w:tc>
          <w:tcPr>
            <w:tcW w:w="1860" w:type="dxa"/>
            <w:vAlign w:val="bottom"/>
          </w:tcPr>
          <w:p>
            <w:pPr>
              <w:jc w:val="right"/>
              <w:ind w:right="1371"/>
              <w:spacing w:after="0"/>
              <w:rPr>
                <w:sz w:val="20"/>
                <w:szCs w:val="20"/>
                <w:color w:val="auto"/>
              </w:rPr>
            </w:pPr>
            <w:r>
              <w:rPr>
                <w:rFonts w:ascii="Arial" w:cs="Arial" w:eastAsia="Arial" w:hAnsi="Arial"/>
                <w:sz w:val="18"/>
                <w:szCs w:val="18"/>
                <w:color w:val="auto"/>
              </w:rPr>
              <w:t>5.1*</w:t>
            </w:r>
          </w:p>
        </w:tc>
        <w:tc>
          <w:tcPr>
            <w:tcW w:w="9160" w:type="dxa"/>
            <w:vAlign w:val="bottom"/>
            <w:gridSpan w:val="30"/>
          </w:tcPr>
          <w:p>
            <w:pPr>
              <w:spacing w:after="0"/>
              <w:rPr>
                <w:rFonts w:ascii="Arial" w:cs="Arial" w:eastAsia="Arial" w:hAnsi="Arial"/>
                <w:sz w:val="18"/>
                <w:szCs w:val="18"/>
                <w:color w:val="0000EE"/>
              </w:rPr>
            </w:pPr>
            <w:hyperlink w:anchor="page264">
              <w:r>
                <w:rPr>
                  <w:rFonts w:ascii="Arial" w:cs="Arial" w:eastAsia="Arial" w:hAnsi="Arial"/>
                  <w:sz w:val="18"/>
                  <w:szCs w:val="18"/>
                  <w:color w:val="0000EE"/>
                </w:rPr>
                <w:t>Opinion of Faegre Drinker Biddle &amp; Reath LLP.</w:t>
              </w:r>
            </w:hyperlink>
          </w:p>
        </w:tc>
      </w:tr>
      <w:tr>
        <w:trPr>
          <w:trHeight w:val="20"/>
        </w:trPr>
        <w:tc>
          <w:tcPr>
            <w:tcW w:w="18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10.1***#</w:t>
            </w:r>
          </w:p>
        </w:tc>
        <w:tc>
          <w:tcPr>
            <w:tcW w:w="9160" w:type="dxa"/>
            <w:vAlign w:val="bottom"/>
            <w:gridSpan w:val="30"/>
          </w:tcPr>
          <w:p>
            <w:pPr>
              <w:spacing w:after="0"/>
              <w:rPr>
                <w:rFonts w:ascii="Arial" w:cs="Arial" w:eastAsia="Arial" w:hAnsi="Arial"/>
                <w:sz w:val="18"/>
                <w:szCs w:val="18"/>
                <w:color w:val="0000EE"/>
                <w:w w:val="97"/>
              </w:rPr>
            </w:pPr>
            <w:hyperlink r:id="rId260">
              <w:r>
                <w:rPr>
                  <w:rFonts w:ascii="Arial" w:cs="Arial" w:eastAsia="Arial" w:hAnsi="Arial"/>
                  <w:sz w:val="18"/>
                  <w:szCs w:val="18"/>
                  <w:color w:val="0000EE"/>
                  <w:w w:val="97"/>
                </w:rPr>
                <w:t>Research Collaboration and License Agreement, dated April 6, 2021, between Context Therapeutics LLC and Integral</w:t>
              </w:r>
            </w:hyperlink>
          </w:p>
        </w:tc>
      </w:tr>
      <w:tr>
        <w:trPr>
          <w:trHeight w:val="196"/>
        </w:trPr>
        <w:tc>
          <w:tcPr>
            <w:tcW w:w="186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260">
              <w:r>
                <w:rPr>
                  <w:rFonts w:ascii="Arial" w:cs="Arial" w:eastAsia="Arial" w:hAnsi="Arial"/>
                  <w:sz w:val="18"/>
                  <w:szCs w:val="18"/>
                  <w:color w:val="0000EE"/>
                  <w:w w:val="92"/>
                </w:rPr>
                <w:t>Molecular, Inc.</w:t>
              </w:r>
            </w:hyperlink>
          </w:p>
        </w:tc>
        <w:tc>
          <w:tcPr>
            <w:tcW w:w="7400" w:type="dxa"/>
            <w:vAlign w:val="bottom"/>
            <w:tcBorders>
              <w:top w:val="single" w:sz="8" w:color="0000EE"/>
            </w:tcBorders>
            <w:gridSpan w:val="20"/>
          </w:tcPr>
          <w:p>
            <w:pPr>
              <w:spacing w:after="0"/>
              <w:rPr>
                <w:sz w:val="17"/>
                <w:szCs w:val="17"/>
                <w:color w:val="auto"/>
              </w:rPr>
            </w:pPr>
          </w:p>
        </w:tc>
        <w:tc>
          <w:tcPr>
            <w:tcW w:w="660" w:type="dxa"/>
            <w:vAlign w:val="bottom"/>
            <w:gridSpan w:val="7"/>
          </w:tcPr>
          <w:p>
            <w:pPr>
              <w:spacing w:after="0"/>
              <w:rPr>
                <w:sz w:val="17"/>
                <w:szCs w:val="17"/>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10.2***#</w:t>
            </w:r>
          </w:p>
        </w:tc>
        <w:tc>
          <w:tcPr>
            <w:tcW w:w="8480" w:type="dxa"/>
            <w:vAlign w:val="bottom"/>
            <w:tcBorders>
              <w:bottom w:val="single" w:sz="8" w:color="0000EE"/>
            </w:tcBorders>
            <w:gridSpan w:val="22"/>
          </w:tcPr>
          <w:p>
            <w:pPr>
              <w:spacing w:after="0"/>
              <w:rPr>
                <w:rFonts w:ascii="Arial" w:cs="Arial" w:eastAsia="Arial" w:hAnsi="Arial"/>
                <w:sz w:val="18"/>
                <w:szCs w:val="18"/>
                <w:color w:val="0000EE"/>
                <w:w w:val="90"/>
              </w:rPr>
            </w:pPr>
            <w:hyperlink r:id="rId261">
              <w:r>
                <w:rPr>
                  <w:rFonts w:ascii="Arial" w:cs="Arial" w:eastAsia="Arial" w:hAnsi="Arial"/>
                  <w:sz w:val="18"/>
                  <w:szCs w:val="18"/>
                  <w:color w:val="0000EE"/>
                  <w:w w:val="90"/>
                </w:rPr>
                <w:t>Process Development Agreement, dated March 6, 2020, between Context Therapeutics LLC and Tyligand Bioscience</w:t>
              </w:r>
            </w:hyperlink>
          </w:p>
        </w:tc>
        <w:tc>
          <w:tcPr>
            <w:tcW w:w="680" w:type="dxa"/>
            <w:vAlign w:val="bottom"/>
            <w:gridSpan w:val="8"/>
          </w:tcPr>
          <w:p>
            <w:pPr>
              <w:spacing w:after="0"/>
              <w:rPr>
                <w:sz w:val="24"/>
                <w:szCs w:val="24"/>
                <w:color w:val="auto"/>
              </w:rPr>
            </w:pPr>
          </w:p>
        </w:tc>
      </w:tr>
      <w:tr>
        <w:trPr>
          <w:trHeight w:val="196"/>
        </w:trPr>
        <w:tc>
          <w:tcPr>
            <w:tcW w:w="1860" w:type="dxa"/>
            <w:vAlign w:val="bottom"/>
          </w:tcPr>
          <w:p>
            <w:pPr>
              <w:spacing w:after="0"/>
              <w:rPr>
                <w:sz w:val="17"/>
                <w:szCs w:val="17"/>
                <w:color w:val="auto"/>
              </w:rPr>
            </w:pPr>
          </w:p>
        </w:tc>
        <w:tc>
          <w:tcPr>
            <w:tcW w:w="9160" w:type="dxa"/>
            <w:vAlign w:val="bottom"/>
            <w:gridSpan w:val="30"/>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(Shanghai) Limited.</w:t>
              </w:r>
            </w:hyperlink>
          </w:p>
        </w:tc>
      </w:tr>
      <w:tr>
        <w:trPr>
          <w:trHeight w:val="20"/>
        </w:trPr>
        <w:tc>
          <w:tcPr>
            <w:tcW w:w="186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10.3***#</w:t>
            </w:r>
          </w:p>
        </w:tc>
        <w:tc>
          <w:tcPr>
            <w:tcW w:w="8520" w:type="dxa"/>
            <w:vAlign w:val="bottom"/>
            <w:tcBorders>
              <w:bottom w:val="single" w:sz="8" w:color="0000EE"/>
            </w:tcBorders>
            <w:gridSpan w:val="24"/>
          </w:tcPr>
          <w:p>
            <w:pPr>
              <w:spacing w:after="0"/>
              <w:rPr>
                <w:rFonts w:ascii="Arial" w:cs="Arial" w:eastAsia="Arial" w:hAnsi="Arial"/>
                <w:sz w:val="18"/>
                <w:szCs w:val="18"/>
                <w:color w:val="0000EE"/>
                <w:w w:val="90"/>
              </w:rPr>
            </w:pPr>
            <w:hyperlink r:id="rId262">
              <w:r>
                <w:rPr>
                  <w:rFonts w:ascii="Arial" w:cs="Arial" w:eastAsia="Arial" w:hAnsi="Arial"/>
                  <w:sz w:val="18"/>
                  <w:szCs w:val="18"/>
                  <w:color w:val="0000EE"/>
                  <w:w w:val="90"/>
                </w:rPr>
                <w:t>Amendment No. 1 to Process Development Agreement, dated April 21, 2021, between Context Therapeutics LLC and</w:t>
              </w:r>
            </w:hyperlink>
          </w:p>
        </w:tc>
        <w:tc>
          <w:tcPr>
            <w:tcW w:w="640" w:type="dxa"/>
            <w:vAlign w:val="bottom"/>
            <w:gridSpan w:val="6"/>
          </w:tcPr>
          <w:p>
            <w:pPr>
              <w:spacing w:after="0"/>
              <w:rPr>
                <w:sz w:val="24"/>
                <w:szCs w:val="24"/>
                <w:color w:val="auto"/>
              </w:rPr>
            </w:pPr>
          </w:p>
        </w:tc>
      </w:tr>
      <w:tr>
        <w:trPr>
          <w:trHeight w:val="196"/>
        </w:trPr>
        <w:tc>
          <w:tcPr>
            <w:tcW w:w="1860" w:type="dxa"/>
            <w:vAlign w:val="bottom"/>
          </w:tcPr>
          <w:p>
            <w:pPr>
              <w:spacing w:after="0"/>
              <w:rPr>
                <w:sz w:val="17"/>
                <w:szCs w:val="17"/>
                <w:color w:val="auto"/>
              </w:rPr>
            </w:pPr>
          </w:p>
        </w:tc>
        <w:tc>
          <w:tcPr>
            <w:tcW w:w="9160" w:type="dxa"/>
            <w:vAlign w:val="bottom"/>
            <w:gridSpan w:val="30"/>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Tyligand Bioscience (Shanghai) Limited.</w:t>
              </w:r>
            </w:hyperlink>
          </w:p>
        </w:tc>
      </w:tr>
      <w:tr>
        <w:trPr>
          <w:trHeight w:val="20"/>
        </w:trPr>
        <w:tc>
          <w:tcPr>
            <w:tcW w:w="1860" w:type="dxa"/>
            <w:vAlign w:val="bottom"/>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860" w:type="dxa"/>
            <w:vAlign w:val="bottom"/>
          </w:tcPr>
          <w:p>
            <w:pPr>
              <w:jc w:val="right"/>
              <w:ind w:right="1191"/>
              <w:spacing w:after="0"/>
              <w:rPr>
                <w:sz w:val="20"/>
                <w:szCs w:val="20"/>
                <w:color w:val="auto"/>
              </w:rPr>
            </w:pPr>
            <w:r>
              <w:rPr>
                <w:rFonts w:ascii="Arial" w:cs="Arial" w:eastAsia="Arial" w:hAnsi="Arial"/>
                <w:sz w:val="18"/>
                <w:szCs w:val="18"/>
                <w:color w:val="auto"/>
                <w:w w:val="99"/>
              </w:rPr>
              <w:t>10.4***</w:t>
            </w:r>
          </w:p>
        </w:tc>
        <w:tc>
          <w:tcPr>
            <w:tcW w:w="9160" w:type="dxa"/>
            <w:vAlign w:val="bottom"/>
            <w:gridSpan w:val="30"/>
          </w:tcPr>
          <w:p>
            <w:pPr>
              <w:spacing w:after="0"/>
              <w:rPr>
                <w:rFonts w:ascii="Arial" w:cs="Arial" w:eastAsia="Arial" w:hAnsi="Arial"/>
                <w:sz w:val="18"/>
                <w:szCs w:val="18"/>
                <w:color w:val="0000EE"/>
                <w:w w:val="91"/>
              </w:rPr>
            </w:pPr>
            <w:hyperlink r:id="rId263">
              <w:r>
                <w:rPr>
                  <w:rFonts w:ascii="Arial" w:cs="Arial" w:eastAsia="Arial" w:hAnsi="Arial"/>
                  <w:sz w:val="18"/>
                  <w:szCs w:val="18"/>
                  <w:color w:val="0000EE"/>
                  <w:w w:val="91"/>
                </w:rPr>
                <w:t>Amendment No. 2 to Process Development Agreement, dated June 3, 2021, between Context Therapeutics LLC and Tyligand</w:t>
              </w:r>
            </w:hyperlink>
          </w:p>
        </w:tc>
      </w:tr>
      <w:tr>
        <w:trPr>
          <w:trHeight w:val="196"/>
        </w:trPr>
        <w:tc>
          <w:tcPr>
            <w:tcW w:w="1860" w:type="dxa"/>
            <w:vAlign w:val="bottom"/>
          </w:tcPr>
          <w:p>
            <w:pPr>
              <w:spacing w:after="0"/>
              <w:rPr>
                <w:sz w:val="17"/>
                <w:szCs w:val="17"/>
                <w:color w:val="auto"/>
              </w:rPr>
            </w:pPr>
          </w:p>
        </w:tc>
        <w:tc>
          <w:tcPr>
            <w:tcW w:w="90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Bioscience (Shanghai) Limited.</w:t>
              </w:r>
            </w:hyperlink>
          </w:p>
        </w:tc>
        <w:tc>
          <w:tcPr>
            <w:tcW w:w="100" w:type="dxa"/>
            <w:vAlign w:val="bottom"/>
            <w:gridSpan w:val="2"/>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10.5***#</w:t>
            </w:r>
          </w:p>
        </w:tc>
        <w:tc>
          <w:tcPr>
            <w:tcW w:w="8800" w:type="dxa"/>
            <w:vAlign w:val="bottom"/>
            <w:tcBorders>
              <w:bottom w:val="single" w:sz="8" w:color="0000EE"/>
            </w:tcBorders>
            <w:gridSpan w:val="26"/>
          </w:tcPr>
          <w:p>
            <w:pPr>
              <w:spacing w:after="0"/>
              <w:rPr>
                <w:rFonts w:ascii="Arial" w:cs="Arial" w:eastAsia="Arial" w:hAnsi="Arial"/>
                <w:sz w:val="18"/>
                <w:szCs w:val="18"/>
                <w:color w:val="0000EE"/>
                <w:w w:val="89"/>
              </w:rPr>
            </w:pPr>
            <w:hyperlink r:id="rId264">
              <w:r>
                <w:rPr>
                  <w:rFonts w:ascii="Arial" w:cs="Arial" w:eastAsia="Arial" w:hAnsi="Arial"/>
                  <w:sz w:val="18"/>
                  <w:szCs w:val="18"/>
                  <w:color w:val="0000EE"/>
                  <w:w w:val="89"/>
                </w:rPr>
                <w:t>Asset Purchase Agreement, dated as of December 15, 2017, between Context Biopharma Inc. and Arno Therapeutics, Inc.</w:t>
              </w:r>
            </w:hyperlink>
          </w:p>
        </w:tc>
        <w:tc>
          <w:tcPr>
            <w:tcW w:w="360" w:type="dxa"/>
            <w:vAlign w:val="bottom"/>
            <w:gridSpan w:val="4"/>
          </w:tcPr>
          <w:p>
            <w:pPr>
              <w:spacing w:after="0"/>
              <w:rPr>
                <w:sz w:val="24"/>
                <w:szCs w:val="24"/>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10.6***†</w:t>
            </w:r>
          </w:p>
        </w:tc>
        <w:tc>
          <w:tcPr>
            <w:tcW w:w="9160" w:type="dxa"/>
            <w:vAlign w:val="bottom"/>
            <w:gridSpan w:val="30"/>
          </w:tcPr>
          <w:p>
            <w:pPr>
              <w:spacing w:after="0"/>
              <w:rPr>
                <w:rFonts w:ascii="Arial" w:cs="Arial" w:eastAsia="Arial" w:hAnsi="Arial"/>
                <w:sz w:val="18"/>
                <w:szCs w:val="18"/>
                <w:color w:val="0000EE"/>
              </w:rPr>
            </w:pPr>
            <w:hyperlink r:id="rId265">
              <w:r>
                <w:rPr>
                  <w:rFonts w:ascii="Arial" w:cs="Arial" w:eastAsia="Arial" w:hAnsi="Arial"/>
                  <w:sz w:val="18"/>
                  <w:szCs w:val="18"/>
                  <w:color w:val="0000EE"/>
                </w:rPr>
                <w:t>Context Therapeutics LLC 2015 Option Plan.</w:t>
              </w:r>
            </w:hyperlink>
          </w:p>
        </w:tc>
      </w:tr>
      <w:tr>
        <w:trPr>
          <w:trHeight w:val="20"/>
        </w:trPr>
        <w:tc>
          <w:tcPr>
            <w:tcW w:w="1860" w:type="dxa"/>
            <w:vAlign w:val="bottom"/>
          </w:tcPr>
          <w:p>
            <w:pPr>
              <w:spacing w:after="0" w:line="20" w:lineRule="exact"/>
              <w:rPr>
                <w:sz w:val="1"/>
                <w:szCs w:val="1"/>
                <w:color w:val="auto"/>
              </w:rPr>
            </w:pPr>
          </w:p>
        </w:tc>
        <w:tc>
          <w:tcPr>
            <w:tcW w:w="3280" w:type="dxa"/>
            <w:vAlign w:val="bottom"/>
            <w:gridSpan w:val="10"/>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10.7***†</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90"/>
              </w:rPr>
            </w:pPr>
            <w:hyperlink r:id="rId266">
              <w:r>
                <w:rPr>
                  <w:rFonts w:ascii="Arial" w:cs="Arial" w:eastAsia="Arial" w:hAnsi="Arial"/>
                  <w:sz w:val="18"/>
                  <w:szCs w:val="18"/>
                  <w:color w:val="0000EE"/>
                  <w:w w:val="90"/>
                </w:rPr>
                <w:t>Context Therapeutics Inc. 2021 Long-Term Incentive Plan.</w:t>
              </w:r>
            </w:hyperlink>
          </w:p>
        </w:tc>
        <w:tc>
          <w:tcPr>
            <w:tcW w:w="4900" w:type="dxa"/>
            <w:vAlign w:val="bottom"/>
            <w:gridSpan w:val="18"/>
          </w:tcPr>
          <w:p>
            <w:pPr>
              <w:spacing w:after="0"/>
              <w:rPr>
                <w:sz w:val="24"/>
                <w:szCs w:val="24"/>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10.8***†</w:t>
            </w:r>
          </w:p>
        </w:tc>
        <w:tc>
          <w:tcPr>
            <w:tcW w:w="9160" w:type="dxa"/>
            <w:vAlign w:val="bottom"/>
            <w:gridSpan w:val="30"/>
          </w:tcPr>
          <w:p>
            <w:pPr>
              <w:spacing w:after="0"/>
              <w:rPr>
                <w:rFonts w:ascii="Arial" w:cs="Arial" w:eastAsia="Arial" w:hAnsi="Arial"/>
                <w:sz w:val="18"/>
                <w:szCs w:val="18"/>
                <w:color w:val="0000EE"/>
              </w:rPr>
            </w:pPr>
            <w:hyperlink r:id="rId267">
              <w:r>
                <w:rPr>
                  <w:rFonts w:ascii="Arial" w:cs="Arial" w:eastAsia="Arial" w:hAnsi="Arial"/>
                  <w:sz w:val="18"/>
                  <w:szCs w:val="18"/>
                  <w:color w:val="0000EE"/>
                </w:rPr>
                <w:t>Form of Stock Option Agreement under the Context Therapeutics Inc. 2021 Incentive Award Plan.</w:t>
              </w:r>
            </w:hyperlink>
          </w:p>
        </w:tc>
      </w:tr>
      <w:tr>
        <w:trPr>
          <w:trHeight w:val="20"/>
        </w:trPr>
        <w:tc>
          <w:tcPr>
            <w:tcW w:w="1860" w:type="dxa"/>
            <w:vAlign w:val="bottom"/>
          </w:tcPr>
          <w:p>
            <w:pPr>
              <w:spacing w:after="0" w:line="20" w:lineRule="exact"/>
              <w:rPr>
                <w:sz w:val="1"/>
                <w:szCs w:val="1"/>
                <w:color w:val="auto"/>
              </w:rPr>
            </w:pPr>
          </w:p>
        </w:tc>
        <w:tc>
          <w:tcPr>
            <w:tcW w:w="710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r>
      <w:tr>
        <w:trPr>
          <w:trHeight w:val="304"/>
        </w:trPr>
        <w:tc>
          <w:tcPr>
            <w:tcW w:w="1860" w:type="dxa"/>
            <w:vAlign w:val="bottom"/>
          </w:tcPr>
          <w:p>
            <w:pPr>
              <w:jc w:val="right"/>
              <w:ind w:right="1091"/>
              <w:spacing w:after="0"/>
              <w:rPr>
                <w:sz w:val="20"/>
                <w:szCs w:val="20"/>
                <w:color w:val="auto"/>
              </w:rPr>
            </w:pPr>
            <w:r>
              <w:rPr>
                <w:rFonts w:ascii="Arial" w:cs="Arial" w:eastAsia="Arial" w:hAnsi="Arial"/>
                <w:sz w:val="18"/>
                <w:szCs w:val="18"/>
                <w:color w:val="auto"/>
                <w:w w:val="99"/>
              </w:rPr>
              <w:t>10.9***†</w:t>
            </w:r>
          </w:p>
        </w:tc>
        <w:tc>
          <w:tcPr>
            <w:tcW w:w="7360" w:type="dxa"/>
            <w:vAlign w:val="bottom"/>
            <w:tcBorders>
              <w:bottom w:val="single" w:sz="8" w:color="0000EE"/>
            </w:tcBorders>
            <w:gridSpan w:val="18"/>
          </w:tcPr>
          <w:p>
            <w:pPr>
              <w:spacing w:after="0"/>
              <w:rPr>
                <w:rFonts w:ascii="Arial" w:cs="Arial" w:eastAsia="Arial" w:hAnsi="Arial"/>
                <w:sz w:val="18"/>
                <w:szCs w:val="18"/>
                <w:color w:val="0000EE"/>
                <w:w w:val="90"/>
              </w:rPr>
            </w:pPr>
            <w:hyperlink r:id="rId268">
              <w:r>
                <w:rPr>
                  <w:rFonts w:ascii="Arial" w:cs="Arial" w:eastAsia="Arial" w:hAnsi="Arial"/>
                  <w:sz w:val="18"/>
                  <w:szCs w:val="18"/>
                  <w:color w:val="0000EE"/>
                  <w:w w:val="90"/>
                </w:rPr>
                <w:t>Form of Stock Grant Agreement under the Context Therapeutics Inc. 2021 Long-Term Incentive Plan.</w:t>
              </w:r>
            </w:hyperlink>
          </w:p>
        </w:tc>
        <w:tc>
          <w:tcPr>
            <w:tcW w:w="1800" w:type="dxa"/>
            <w:vAlign w:val="bottom"/>
            <w:gridSpan w:val="12"/>
          </w:tcPr>
          <w:p>
            <w:pPr>
              <w:spacing w:after="0"/>
              <w:rPr>
                <w:sz w:val="24"/>
                <w:szCs w:val="24"/>
                <w:color w:val="auto"/>
              </w:rPr>
            </w:pPr>
          </w:p>
        </w:tc>
      </w:tr>
      <w:tr>
        <w:trPr>
          <w:trHeight w:val="304"/>
        </w:trPr>
        <w:tc>
          <w:tcPr>
            <w:tcW w:w="1860" w:type="dxa"/>
            <w:vAlign w:val="bottom"/>
          </w:tcPr>
          <w:p>
            <w:pPr>
              <w:spacing w:after="0"/>
              <w:rPr>
                <w:sz w:val="20"/>
                <w:szCs w:val="20"/>
                <w:color w:val="auto"/>
              </w:rPr>
            </w:pPr>
            <w:r>
              <w:rPr>
                <w:rFonts w:ascii="Arial" w:cs="Arial" w:eastAsia="Arial" w:hAnsi="Arial"/>
                <w:sz w:val="18"/>
                <w:szCs w:val="18"/>
                <w:color w:val="auto"/>
              </w:rPr>
              <w:t>10.10***†</w:t>
            </w:r>
          </w:p>
        </w:tc>
        <w:tc>
          <w:tcPr>
            <w:tcW w:w="7320" w:type="dxa"/>
            <w:vAlign w:val="bottom"/>
            <w:tcBorders>
              <w:bottom w:val="single" w:sz="8" w:color="0000EE"/>
            </w:tcBorders>
            <w:gridSpan w:val="17"/>
          </w:tcPr>
          <w:p>
            <w:pPr>
              <w:spacing w:after="0"/>
              <w:rPr>
                <w:rFonts w:ascii="Arial" w:cs="Arial" w:eastAsia="Arial" w:hAnsi="Arial"/>
                <w:sz w:val="18"/>
                <w:szCs w:val="18"/>
                <w:color w:val="0000EE"/>
                <w:w w:val="91"/>
              </w:rPr>
            </w:pPr>
            <w:hyperlink r:id="rId269">
              <w:r>
                <w:rPr>
                  <w:rFonts w:ascii="Arial" w:cs="Arial" w:eastAsia="Arial" w:hAnsi="Arial"/>
                  <w:sz w:val="18"/>
                  <w:szCs w:val="18"/>
                  <w:color w:val="0000EE"/>
                  <w:w w:val="91"/>
                </w:rPr>
                <w:t>Form of Indemnification Agreement between Context Therapeutics Inc. and its officers and directors.</w:t>
              </w:r>
            </w:hyperlink>
          </w:p>
        </w:tc>
        <w:tc>
          <w:tcPr>
            <w:tcW w:w="1840" w:type="dxa"/>
            <w:vAlign w:val="bottom"/>
            <w:gridSpan w:val="13"/>
          </w:tcPr>
          <w:p>
            <w:pPr>
              <w:spacing w:after="0"/>
              <w:rPr>
                <w:sz w:val="24"/>
                <w:szCs w:val="24"/>
                <w:color w:val="auto"/>
              </w:rPr>
            </w:pPr>
          </w:p>
        </w:tc>
      </w:tr>
      <w:tr>
        <w:trPr>
          <w:trHeight w:val="304"/>
        </w:trPr>
        <w:tc>
          <w:tcPr>
            <w:tcW w:w="1860" w:type="dxa"/>
            <w:vAlign w:val="bottom"/>
          </w:tcPr>
          <w:p>
            <w:pPr>
              <w:spacing w:after="0"/>
              <w:rPr>
                <w:sz w:val="20"/>
                <w:szCs w:val="20"/>
                <w:color w:val="auto"/>
              </w:rPr>
            </w:pPr>
            <w:r>
              <w:rPr>
                <w:rFonts w:ascii="Arial" w:cs="Arial" w:eastAsia="Arial" w:hAnsi="Arial"/>
                <w:sz w:val="18"/>
                <w:szCs w:val="18"/>
                <w:color w:val="auto"/>
              </w:rPr>
              <w:t>10.11***#†</w:t>
            </w:r>
          </w:p>
        </w:tc>
        <w:tc>
          <w:tcPr>
            <w:tcW w:w="7700" w:type="dxa"/>
            <w:vAlign w:val="bottom"/>
            <w:tcBorders>
              <w:bottom w:val="single" w:sz="8" w:color="0000EE"/>
            </w:tcBorders>
            <w:gridSpan w:val="20"/>
          </w:tcPr>
          <w:p>
            <w:pPr>
              <w:spacing w:after="0"/>
              <w:rPr>
                <w:rFonts w:ascii="Arial" w:cs="Arial" w:eastAsia="Arial" w:hAnsi="Arial"/>
                <w:sz w:val="18"/>
                <w:szCs w:val="18"/>
                <w:color w:val="0000EE"/>
                <w:w w:val="90"/>
              </w:rPr>
            </w:pPr>
            <w:hyperlink r:id="rId270">
              <w:r>
                <w:rPr>
                  <w:rFonts w:ascii="Arial" w:cs="Arial" w:eastAsia="Arial" w:hAnsi="Arial"/>
                  <w:sz w:val="18"/>
                  <w:szCs w:val="18"/>
                  <w:color w:val="0000EE"/>
                  <w:w w:val="90"/>
                </w:rPr>
                <w:t>Consulting Agreement, dated October 23, 2019, between William Rencher and Context Therapeutics LLC.</w:t>
              </w:r>
            </w:hyperlink>
          </w:p>
        </w:tc>
        <w:tc>
          <w:tcPr>
            <w:tcW w:w="1460" w:type="dxa"/>
            <w:vAlign w:val="bottom"/>
            <w:gridSpan w:val="10"/>
          </w:tcPr>
          <w:p>
            <w:pPr>
              <w:spacing w:after="0"/>
              <w:rPr>
                <w:sz w:val="24"/>
                <w:szCs w:val="24"/>
                <w:color w:val="auto"/>
              </w:rPr>
            </w:pPr>
          </w:p>
        </w:tc>
      </w:tr>
      <w:tr>
        <w:trPr>
          <w:trHeight w:val="385"/>
        </w:trPr>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9"/>
          </w:tcPr>
          <w:p>
            <w:pPr>
              <w:ind w:left="2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2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1880" w:type="dxa"/>
            <w:vAlign w:val="bottom"/>
          </w:tcPr>
          <w:p>
            <w:pPr>
              <w:spacing w:after="0"/>
              <w:rPr>
                <w:sz w:val="20"/>
                <w:szCs w:val="20"/>
                <w:color w:val="auto"/>
              </w:rPr>
            </w:pPr>
            <w:r>
              <w:rPr>
                <w:rFonts w:ascii="Arial" w:cs="Arial" w:eastAsia="Arial" w:hAnsi="Arial"/>
                <w:sz w:val="18"/>
                <w:szCs w:val="18"/>
                <w:color w:val="auto"/>
              </w:rPr>
              <w:t>10.12***#†</w:t>
            </w:r>
          </w:p>
        </w:tc>
        <w:tc>
          <w:tcPr>
            <w:tcW w:w="7300" w:type="dxa"/>
            <w:vAlign w:val="bottom"/>
            <w:tcBorders>
              <w:bottom w:val="single" w:sz="8" w:color="0000EE"/>
            </w:tcBorders>
            <w:gridSpan w:val="6"/>
          </w:tcPr>
          <w:p>
            <w:pPr>
              <w:spacing w:after="0"/>
              <w:rPr>
                <w:rFonts w:ascii="Arial" w:cs="Arial" w:eastAsia="Arial" w:hAnsi="Arial"/>
                <w:sz w:val="18"/>
                <w:szCs w:val="18"/>
                <w:color w:val="0000EE"/>
                <w:w w:val="90"/>
              </w:rPr>
            </w:pPr>
            <w:hyperlink r:id="rId272">
              <w:r>
                <w:rPr>
                  <w:rFonts w:ascii="Arial" w:cs="Arial" w:eastAsia="Arial" w:hAnsi="Arial"/>
                  <w:sz w:val="18"/>
                  <w:szCs w:val="18"/>
                  <w:color w:val="0000EE"/>
                  <w:w w:val="90"/>
                </w:rPr>
                <w:t>Consulting Agreement, dated February 25, 2021, between Evan Dick and Context Therapeutics LLC.</w:t>
              </w:r>
            </w:hyperlink>
          </w:p>
        </w:tc>
        <w:tc>
          <w:tcPr>
            <w:tcW w:w="1840" w:type="dxa"/>
            <w:vAlign w:val="bottom"/>
            <w:gridSpan w:val="2"/>
          </w:tcPr>
          <w:p>
            <w:pPr>
              <w:spacing w:after="0"/>
              <w:rPr>
                <w:sz w:val="22"/>
                <w:szCs w:val="22"/>
                <w:color w:val="auto"/>
              </w:rPr>
            </w:pPr>
          </w:p>
        </w:tc>
      </w:tr>
      <w:tr>
        <w:trPr>
          <w:trHeight w:val="304"/>
        </w:trPr>
        <w:tc>
          <w:tcPr>
            <w:tcW w:w="1880" w:type="dxa"/>
            <w:vAlign w:val="bottom"/>
          </w:tcPr>
          <w:p>
            <w:pPr>
              <w:spacing w:after="0"/>
              <w:rPr>
                <w:sz w:val="20"/>
                <w:szCs w:val="20"/>
                <w:color w:val="auto"/>
              </w:rPr>
            </w:pPr>
            <w:r>
              <w:rPr>
                <w:rFonts w:ascii="Arial" w:cs="Arial" w:eastAsia="Arial" w:hAnsi="Arial"/>
                <w:sz w:val="18"/>
                <w:szCs w:val="18"/>
                <w:color w:val="auto"/>
              </w:rPr>
              <w:t>10.13***#†</w:t>
            </w:r>
          </w:p>
        </w:tc>
        <w:tc>
          <w:tcPr>
            <w:tcW w:w="9140" w:type="dxa"/>
            <w:vAlign w:val="bottom"/>
            <w:gridSpan w:val="8"/>
          </w:tcPr>
          <w:p>
            <w:pPr>
              <w:spacing w:after="0"/>
              <w:rPr>
                <w:rFonts w:ascii="Arial" w:cs="Arial" w:eastAsia="Arial" w:hAnsi="Arial"/>
                <w:sz w:val="18"/>
                <w:szCs w:val="18"/>
                <w:color w:val="0000EE"/>
              </w:rPr>
            </w:pPr>
            <w:hyperlink r:id="rId273">
              <w:r>
                <w:rPr>
                  <w:rFonts w:ascii="Arial" w:cs="Arial" w:eastAsia="Arial" w:hAnsi="Arial"/>
                  <w:sz w:val="18"/>
                  <w:szCs w:val="18"/>
                  <w:color w:val="0000EE"/>
                </w:rPr>
                <w:t>Consulting Agreement, dated May 7, 2021, between OncoStrategy, LLC and Context Therapeutics Inc.</w:t>
              </w:r>
            </w:hyperlink>
          </w:p>
        </w:tc>
      </w:tr>
      <w:tr>
        <w:trPr>
          <w:trHeight w:val="304"/>
        </w:trPr>
        <w:tc>
          <w:tcPr>
            <w:tcW w:w="1880" w:type="dxa"/>
            <w:vAlign w:val="bottom"/>
          </w:tcPr>
          <w:p>
            <w:pPr>
              <w:spacing w:after="0"/>
              <w:rPr>
                <w:sz w:val="20"/>
                <w:szCs w:val="20"/>
                <w:color w:val="auto"/>
              </w:rPr>
            </w:pPr>
            <w:r>
              <w:rPr>
                <w:rFonts w:ascii="Arial" w:cs="Arial" w:eastAsia="Arial" w:hAnsi="Arial"/>
                <w:sz w:val="18"/>
                <w:szCs w:val="18"/>
                <w:color w:val="auto"/>
              </w:rPr>
              <w:t>10.14***†</w:t>
            </w:r>
          </w:p>
        </w:tc>
        <w:tc>
          <w:tcPr>
            <w:tcW w:w="7420" w:type="dxa"/>
            <w:vAlign w:val="bottom"/>
            <w:tcBorders>
              <w:top w:val="single" w:sz="8" w:color="0000EE"/>
            </w:tcBorders>
            <w:gridSpan w:val="7"/>
          </w:tcPr>
          <w:p>
            <w:pPr>
              <w:spacing w:after="0"/>
              <w:rPr>
                <w:rFonts w:ascii="Arial" w:cs="Arial" w:eastAsia="Arial" w:hAnsi="Arial"/>
                <w:sz w:val="18"/>
                <w:szCs w:val="18"/>
                <w:color w:val="0000EE"/>
              </w:rPr>
            </w:pPr>
            <w:hyperlink r:id="rId274">
              <w:r>
                <w:rPr>
                  <w:rFonts w:ascii="Arial" w:cs="Arial" w:eastAsia="Arial" w:hAnsi="Arial"/>
                  <w:sz w:val="18"/>
                  <w:szCs w:val="18"/>
                  <w:color w:val="0000EE"/>
                </w:rPr>
                <w:t>Form of Director Services Agreement.</w:t>
              </w:r>
            </w:hyperlink>
          </w:p>
        </w:tc>
        <w:tc>
          <w:tcPr>
            <w:tcW w:w="1720" w:type="dxa"/>
            <w:vAlign w:val="bottom"/>
          </w:tcPr>
          <w:p>
            <w:pPr>
              <w:spacing w:after="0"/>
              <w:rPr>
                <w:sz w:val="24"/>
                <w:szCs w:val="24"/>
                <w:color w:val="auto"/>
              </w:rPr>
            </w:pPr>
          </w:p>
        </w:tc>
      </w:tr>
      <w:tr>
        <w:trPr>
          <w:trHeight w:val="304"/>
        </w:trPr>
        <w:tc>
          <w:tcPr>
            <w:tcW w:w="1880" w:type="dxa"/>
            <w:vAlign w:val="bottom"/>
          </w:tcPr>
          <w:p>
            <w:pPr>
              <w:spacing w:after="0"/>
              <w:rPr>
                <w:sz w:val="20"/>
                <w:szCs w:val="20"/>
                <w:color w:val="auto"/>
              </w:rPr>
            </w:pPr>
            <w:r>
              <w:rPr>
                <w:rFonts w:ascii="Arial" w:cs="Arial" w:eastAsia="Arial" w:hAnsi="Arial"/>
                <w:sz w:val="18"/>
                <w:szCs w:val="18"/>
                <w:color w:val="auto"/>
              </w:rPr>
              <w:t>21.1***</w:t>
            </w:r>
          </w:p>
        </w:tc>
        <w:tc>
          <w:tcPr>
            <w:tcW w:w="2760" w:type="dxa"/>
            <w:vAlign w:val="bottom"/>
            <w:tcBorders>
              <w:top w:val="single" w:sz="8" w:color="0000EE"/>
            </w:tcBorders>
            <w:gridSpan w:val="3"/>
          </w:tcPr>
          <w:p>
            <w:pPr>
              <w:spacing w:after="0"/>
              <w:rPr>
                <w:rFonts w:ascii="Arial" w:cs="Arial" w:eastAsia="Arial" w:hAnsi="Arial"/>
                <w:sz w:val="18"/>
                <w:szCs w:val="18"/>
                <w:color w:val="0000EE"/>
              </w:rPr>
            </w:pPr>
            <w:hyperlink r:id="rId275">
              <w:r>
                <w:rPr>
                  <w:rFonts w:ascii="Arial" w:cs="Arial" w:eastAsia="Arial" w:hAnsi="Arial"/>
                  <w:sz w:val="18"/>
                  <w:szCs w:val="18"/>
                  <w:color w:val="0000EE"/>
                </w:rPr>
                <w:t>Subsidiaries of the Company.</w:t>
              </w:r>
            </w:hyperlink>
          </w:p>
        </w:tc>
        <w:tc>
          <w:tcPr>
            <w:tcW w:w="6380" w:type="dxa"/>
            <w:vAlign w:val="bottom"/>
            <w:gridSpan w:val="5"/>
          </w:tcPr>
          <w:p>
            <w:pPr>
              <w:spacing w:after="0"/>
              <w:rPr>
                <w:sz w:val="24"/>
                <w:szCs w:val="24"/>
                <w:color w:val="auto"/>
              </w:rPr>
            </w:pPr>
          </w:p>
        </w:tc>
      </w:tr>
      <w:tr>
        <w:trPr>
          <w:trHeight w:val="20"/>
        </w:trPr>
        <w:tc>
          <w:tcPr>
            <w:tcW w:w="18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r>
      <w:tr>
        <w:trPr>
          <w:trHeight w:val="304"/>
        </w:trPr>
        <w:tc>
          <w:tcPr>
            <w:tcW w:w="1880" w:type="dxa"/>
            <w:vAlign w:val="bottom"/>
          </w:tcPr>
          <w:p>
            <w:pPr>
              <w:spacing w:after="0"/>
              <w:rPr>
                <w:sz w:val="20"/>
                <w:szCs w:val="20"/>
                <w:color w:val="auto"/>
              </w:rPr>
            </w:pPr>
            <w:r>
              <w:rPr>
                <w:rFonts w:ascii="Arial" w:cs="Arial" w:eastAsia="Arial" w:hAnsi="Arial"/>
                <w:sz w:val="18"/>
                <w:szCs w:val="18"/>
                <w:color w:val="auto"/>
              </w:rPr>
              <w:t>23.1*</w:t>
            </w:r>
          </w:p>
        </w:tc>
        <w:tc>
          <w:tcPr>
            <w:tcW w:w="22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66">
              <w:r>
                <w:rPr>
                  <w:rFonts w:ascii="Arial" w:cs="Arial" w:eastAsia="Arial" w:hAnsi="Arial"/>
                  <w:sz w:val="18"/>
                  <w:szCs w:val="18"/>
                  <w:color w:val="0000EE"/>
                  <w:w w:val="90"/>
                </w:rPr>
                <w:t>Consent of CohnReznick LLP.</w:t>
              </w:r>
            </w:hyperlink>
          </w:p>
        </w:tc>
        <w:tc>
          <w:tcPr>
            <w:tcW w:w="6940" w:type="dxa"/>
            <w:vAlign w:val="bottom"/>
            <w:gridSpan w:val="6"/>
          </w:tcPr>
          <w:p>
            <w:pPr>
              <w:spacing w:after="0"/>
              <w:rPr>
                <w:sz w:val="24"/>
                <w:szCs w:val="24"/>
                <w:color w:val="auto"/>
              </w:rPr>
            </w:pPr>
          </w:p>
        </w:tc>
      </w:tr>
      <w:tr>
        <w:trPr>
          <w:trHeight w:val="304"/>
        </w:trPr>
        <w:tc>
          <w:tcPr>
            <w:tcW w:w="1880" w:type="dxa"/>
            <w:vAlign w:val="bottom"/>
          </w:tcPr>
          <w:p>
            <w:pPr>
              <w:spacing w:after="0"/>
              <w:rPr>
                <w:sz w:val="20"/>
                <w:szCs w:val="20"/>
                <w:color w:val="auto"/>
              </w:rPr>
            </w:pPr>
            <w:r>
              <w:rPr>
                <w:rFonts w:ascii="Arial" w:cs="Arial" w:eastAsia="Arial" w:hAnsi="Arial"/>
                <w:sz w:val="18"/>
                <w:szCs w:val="18"/>
                <w:color w:val="auto"/>
              </w:rPr>
              <w:t>23.2*</w:t>
            </w:r>
          </w:p>
        </w:tc>
        <w:tc>
          <w:tcPr>
            <w:tcW w:w="5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64">
              <w:r>
                <w:rPr>
                  <w:rFonts w:ascii="Arial" w:cs="Arial" w:eastAsia="Arial" w:hAnsi="Arial"/>
                  <w:sz w:val="18"/>
                  <w:szCs w:val="18"/>
                  <w:color w:val="0000EE"/>
                  <w:w w:val="92"/>
                </w:rPr>
                <w:t>Consent of Faegre Drinker Biddle &amp; Reath LLP (included in Exhibit 5.1).</w:t>
              </w:r>
            </w:hyperlink>
          </w:p>
        </w:tc>
        <w:tc>
          <w:tcPr>
            <w:tcW w:w="3820" w:type="dxa"/>
            <w:vAlign w:val="bottom"/>
            <w:gridSpan w:val="3"/>
          </w:tcPr>
          <w:p>
            <w:pPr>
              <w:spacing w:after="0"/>
              <w:rPr>
                <w:sz w:val="24"/>
                <w:szCs w:val="24"/>
                <w:color w:val="auto"/>
              </w:rPr>
            </w:pPr>
          </w:p>
        </w:tc>
      </w:tr>
      <w:tr>
        <w:trPr>
          <w:trHeight w:val="304"/>
        </w:trPr>
        <w:tc>
          <w:tcPr>
            <w:tcW w:w="1880" w:type="dxa"/>
            <w:vAlign w:val="bottom"/>
          </w:tcPr>
          <w:p>
            <w:pPr>
              <w:spacing w:after="0"/>
              <w:rPr>
                <w:sz w:val="20"/>
                <w:szCs w:val="20"/>
                <w:color w:val="auto"/>
              </w:rPr>
            </w:pPr>
            <w:r>
              <w:rPr>
                <w:rFonts w:ascii="Arial" w:cs="Arial" w:eastAsia="Arial" w:hAnsi="Arial"/>
                <w:sz w:val="18"/>
                <w:szCs w:val="18"/>
                <w:color w:val="auto"/>
              </w:rPr>
              <w:t>24.1***</w:t>
            </w:r>
          </w:p>
        </w:tc>
        <w:tc>
          <w:tcPr>
            <w:tcW w:w="9140" w:type="dxa"/>
            <w:vAlign w:val="bottom"/>
            <w:gridSpan w:val="8"/>
          </w:tcPr>
          <w:p>
            <w:pPr>
              <w:spacing w:after="0"/>
              <w:rPr>
                <w:rFonts w:ascii="Arial" w:cs="Arial" w:eastAsia="Arial" w:hAnsi="Arial"/>
                <w:sz w:val="18"/>
                <w:szCs w:val="18"/>
                <w:color w:val="0000EE"/>
              </w:rPr>
            </w:pPr>
            <w:hyperlink r:id="rId276">
              <w:r>
                <w:rPr>
                  <w:rFonts w:ascii="Arial" w:cs="Arial" w:eastAsia="Arial" w:hAnsi="Arial"/>
                  <w:sz w:val="18"/>
                  <w:szCs w:val="18"/>
                  <w:color w:val="0000EE"/>
                </w:rPr>
                <w:t>Powers of Attorney (included on signature page).</w:t>
              </w:r>
            </w:hyperlink>
          </w:p>
        </w:tc>
      </w:tr>
      <w:tr>
        <w:trPr>
          <w:trHeight w:val="20"/>
        </w:trPr>
        <w:tc>
          <w:tcPr>
            <w:tcW w:w="18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Executive Compensation Plan or Agreement</w:t>
      </w:r>
    </w:p>
    <w:p>
      <w:pPr>
        <w:spacing w:after="0" w:line="9" w:lineRule="exact"/>
        <w:rPr>
          <w:rFonts w:ascii="Arial" w:cs="Arial" w:eastAsia="Arial" w:hAnsi="Arial"/>
          <w:sz w:val="18"/>
          <w:szCs w:val="18"/>
          <w:color w:val="auto"/>
        </w:rPr>
      </w:pPr>
    </w:p>
    <w:p>
      <w:pPr>
        <w:ind w:left="660" w:right="360" w:hanging="540"/>
        <w:spacing w:after="0" w:line="260" w:lineRule="auto"/>
        <w:rPr>
          <w:rFonts w:ascii="Arial" w:cs="Arial" w:eastAsia="Arial" w:hAnsi="Arial"/>
          <w:sz w:val="18"/>
          <w:szCs w:val="18"/>
          <w:color w:val="auto"/>
        </w:rPr>
      </w:pPr>
      <w:r>
        <w:rPr>
          <w:rFonts w:ascii="Arial" w:cs="Arial" w:eastAsia="Arial" w:hAnsi="Arial"/>
          <w:sz w:val="18"/>
          <w:szCs w:val="18"/>
          <w:color w:val="auto"/>
        </w:rPr>
        <w:t>#Certain information has been excluded from the exhibit because it both (i) is not material and (ii) would likely cause competitive harm to the registrant if publicly disclosed.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Financial Statement Schedules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related notes, which are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380" w:hanging="264"/>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file, during any period in which offers or sells are being made, a post-effective amendment to this registration statement:</w:t>
      </w:r>
    </w:p>
    <w:p>
      <w:pPr>
        <w:spacing w:after="0" w:line="117" w:lineRule="exact"/>
        <w:rPr>
          <w:rFonts w:ascii="Arial" w:cs="Arial" w:eastAsia="Arial" w:hAnsi="Arial"/>
          <w:sz w:val="18"/>
          <w:szCs w:val="18"/>
          <w:color w:val="auto"/>
        </w:rPr>
      </w:pPr>
    </w:p>
    <w:p>
      <w:pPr>
        <w:ind w:left="780" w:hanging="224"/>
        <w:spacing w:after="0"/>
        <w:tabs>
          <w:tab w:leader="none" w:pos="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20" w:right="100" w:firstLine="436"/>
        <w:spacing w:after="0" w:line="293" w:lineRule="auto"/>
        <w:tabs>
          <w:tab w:leader="none" w:pos="825" w:val="left"/>
        </w:tabs>
        <w:numPr>
          <w:ilvl w:val="1"/>
          <w:numId w:val="8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left="120" w:right="60" w:firstLine="436"/>
        <w:spacing w:after="0" w:line="257" w:lineRule="auto"/>
        <w:tabs>
          <w:tab w:leader="none" w:pos="8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include material information with respect to the plan of distribution not previously disclosed in the registration statement or any material change to such information in the registration statement; provided, however, that paragraphs (1)(i), (1)(ii) and (1)(iii) above do not apply if the information required to be included in a post-effective amendment by those paragraphs is contained in reports filed with or furnished to the Commission by the Registrant pursuant to Section 13 and Section 15(d) of the Securities Exchange Act of 1934 that are incorporated by reference in the registration statement.</w:t>
      </w:r>
    </w:p>
    <w:p>
      <w:pPr>
        <w:spacing w:after="0" w:line="187" w:lineRule="exact"/>
        <w:rPr>
          <w:rFonts w:ascii="Arial" w:cs="Arial" w:eastAsia="Arial" w:hAnsi="Arial"/>
          <w:sz w:val="18"/>
          <w:szCs w:val="18"/>
          <w:color w:val="auto"/>
        </w:rPr>
      </w:pPr>
    </w:p>
    <w:p>
      <w:pPr>
        <w:ind w:left="120" w:right="80" w:hanging="4"/>
        <w:spacing w:after="0" w:line="263" w:lineRule="auto"/>
        <w:tabs>
          <w:tab w:leader="none" w:pos="3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77"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20" w:right="20" w:hanging="4"/>
        <w:spacing w:after="0" w:line="301" w:lineRule="auto"/>
        <w:tabs>
          <w:tab w:leader="none" w:pos="375"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determining liability of the undersigned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9" w:lineRule="exact"/>
        <w:rPr>
          <w:rFonts w:ascii="Arial" w:cs="Arial" w:eastAsia="Arial" w:hAnsi="Arial"/>
          <w:sz w:val="16"/>
          <w:szCs w:val="16"/>
          <w:color w:val="auto"/>
        </w:rPr>
      </w:pPr>
    </w:p>
    <w:p>
      <w:pPr>
        <w:ind w:left="800" w:hanging="244"/>
        <w:spacing w:after="0"/>
        <w:tabs>
          <w:tab w:leader="none" w:pos="8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600" w:firstLine="436"/>
        <w:spacing w:after="0" w:line="277" w:lineRule="auto"/>
        <w:tabs>
          <w:tab w:leader="none" w:pos="8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805"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3" w:lineRule="exact"/>
        <w:rPr>
          <w:rFonts w:ascii="Arial" w:cs="Arial" w:eastAsia="Arial" w:hAnsi="Arial"/>
          <w:sz w:val="18"/>
          <w:szCs w:val="18"/>
          <w:color w:val="auto"/>
        </w:rPr>
      </w:pPr>
    </w:p>
    <w:p>
      <w:pPr>
        <w:ind w:left="120" w:right="40" w:hanging="4"/>
        <w:spacing w:after="0" w:line="269" w:lineRule="auto"/>
        <w:tabs>
          <w:tab w:leader="none" w:pos="37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0" w:lineRule="exact"/>
        <w:rPr>
          <w:rFonts w:ascii="Arial" w:cs="Arial" w:eastAsia="Arial" w:hAnsi="Arial"/>
          <w:sz w:val="17"/>
          <w:szCs w:val="17"/>
          <w:color w:val="auto"/>
        </w:rPr>
      </w:pPr>
    </w:p>
    <w:p>
      <w:pPr>
        <w:ind w:left="120" w:right="40" w:hanging="4"/>
        <w:spacing w:after="0" w:line="271" w:lineRule="auto"/>
        <w:tabs>
          <w:tab w:leader="none" w:pos="37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Philadelphia, State of Pennsylvania, on July 1,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CONTEXT THERAPEUTICS INC.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Martin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5715</wp:posOffset>
            </wp:positionV>
            <wp:extent cx="25971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Martin Lehr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2380" w:type="dxa"/>
            <w:vAlign w:val="bottom"/>
            <w:gridSpan w:val="2"/>
          </w:tcPr>
          <w:p>
            <w:pPr>
              <w:ind w:left="1520"/>
              <w:spacing w:after="0"/>
              <w:rPr>
                <w:sz w:val="20"/>
                <w:szCs w:val="20"/>
                <w:color w:val="auto"/>
              </w:rPr>
            </w:pPr>
            <w:r>
              <w:rPr>
                <w:rFonts w:ascii="Arial" w:cs="Arial" w:eastAsia="Arial" w:hAnsi="Arial"/>
                <w:sz w:val="14"/>
                <w:szCs w:val="14"/>
                <w:b w:val="1"/>
                <w:bCs w:val="1"/>
                <w:color w:val="auto"/>
              </w:rPr>
              <w:t>SIGNATURE</w:t>
            </w: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2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rPr>
              <w:t>DATE</w:t>
            </w:r>
          </w:p>
        </w:tc>
      </w:tr>
      <w:tr>
        <w:trPr>
          <w:trHeight w:val="20"/>
        </w:trPr>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Lehr</w:t>
            </w:r>
          </w:p>
        </w:tc>
        <w:tc>
          <w:tcPr>
            <w:tcW w:w="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gridSpan w:val="3"/>
          </w:tcPr>
          <w:p>
            <w:pPr>
              <w:jc w:val="center"/>
              <w:ind w:left="853"/>
              <w:spacing w:after="0"/>
              <w:rPr>
                <w:sz w:val="20"/>
                <w:szCs w:val="20"/>
                <w:color w:val="auto"/>
              </w:rPr>
            </w:pPr>
            <w:r>
              <w:rPr>
                <w:rFonts w:ascii="Arial" w:cs="Arial" w:eastAsia="Arial" w:hAnsi="Arial"/>
                <w:sz w:val="18"/>
                <w:szCs w:val="18"/>
                <w:color w:val="auto"/>
                <w:w w:val="90"/>
              </w:rPr>
              <w:t>July 1, 2021</w:t>
            </w:r>
          </w:p>
        </w:tc>
      </w:tr>
      <w:tr>
        <w:trPr>
          <w:trHeight w:val="224"/>
        </w:trPr>
        <w:tc>
          <w:tcPr>
            <w:tcW w:w="2920" w:type="dxa"/>
            <w:vAlign w:val="bottom"/>
            <w:gridSpan w:val="3"/>
          </w:tcPr>
          <w:p>
            <w:pPr>
              <w:spacing w:after="0"/>
              <w:rPr>
                <w:sz w:val="20"/>
                <w:szCs w:val="20"/>
                <w:color w:val="auto"/>
              </w:rPr>
            </w:pPr>
            <w:r>
              <w:rPr>
                <w:rFonts w:ascii="Arial" w:cs="Arial" w:eastAsia="Arial" w:hAnsi="Arial"/>
                <w:sz w:val="18"/>
                <w:szCs w:val="18"/>
                <w:color w:val="auto"/>
              </w:rPr>
              <w:t>Martin Lehr</w:t>
            </w:r>
          </w:p>
        </w:tc>
        <w:tc>
          <w:tcPr>
            <w:tcW w:w="2040" w:type="dxa"/>
            <w:vAlign w:val="bottom"/>
          </w:tcPr>
          <w:p>
            <w:pPr>
              <w:spacing w:after="0"/>
              <w:rPr>
                <w:sz w:val="19"/>
                <w:szCs w:val="19"/>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Berman</w:t>
            </w:r>
          </w:p>
        </w:tc>
        <w:tc>
          <w:tcPr>
            <w:tcW w:w="2040" w:type="dxa"/>
            <w:vAlign w:val="bottom"/>
            <w:tcBorders>
              <w:bottom w:val="single" w:sz="8" w:color="auto"/>
            </w:tcBorders>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Chairman of the Board and Director</w:t>
            </w:r>
          </w:p>
        </w:tc>
        <w:tc>
          <w:tcPr>
            <w:tcW w:w="1820" w:type="dxa"/>
            <w:vAlign w:val="bottom"/>
            <w:gridSpan w:val="3"/>
          </w:tcPr>
          <w:p>
            <w:pPr>
              <w:jc w:val="center"/>
              <w:ind w:left="853"/>
              <w:spacing w:after="0"/>
              <w:rPr>
                <w:sz w:val="20"/>
                <w:szCs w:val="20"/>
                <w:color w:val="auto"/>
              </w:rPr>
            </w:pPr>
            <w:r>
              <w:rPr>
                <w:rFonts w:ascii="Arial" w:cs="Arial" w:eastAsia="Arial" w:hAnsi="Arial"/>
                <w:sz w:val="18"/>
                <w:szCs w:val="18"/>
                <w:color w:val="auto"/>
                <w:w w:val="90"/>
              </w:rPr>
              <w:t>July 1, 2021</w:t>
            </w:r>
          </w:p>
        </w:tc>
      </w:tr>
      <w:tr>
        <w:trPr>
          <w:trHeight w:val="224"/>
        </w:trPr>
        <w:tc>
          <w:tcPr>
            <w:tcW w:w="2920" w:type="dxa"/>
            <w:vAlign w:val="bottom"/>
            <w:gridSpan w:val="3"/>
          </w:tcPr>
          <w:p>
            <w:pPr>
              <w:spacing w:after="0"/>
              <w:rPr>
                <w:sz w:val="20"/>
                <w:szCs w:val="20"/>
                <w:color w:val="auto"/>
              </w:rPr>
            </w:pPr>
            <w:r>
              <w:rPr>
                <w:rFonts w:ascii="Arial" w:cs="Arial" w:eastAsia="Arial" w:hAnsi="Arial"/>
                <w:sz w:val="18"/>
                <w:szCs w:val="18"/>
                <w:color w:val="auto"/>
              </w:rPr>
              <w:t>Richard Berman</w:t>
            </w:r>
          </w:p>
        </w:tc>
        <w:tc>
          <w:tcPr>
            <w:tcW w:w="2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853"/>
              <w:spacing w:after="0"/>
              <w:rPr>
                <w:sz w:val="20"/>
                <w:szCs w:val="20"/>
                <w:color w:val="auto"/>
              </w:rPr>
            </w:pPr>
            <w:r>
              <w:rPr>
                <w:rFonts w:ascii="Arial" w:cs="Arial" w:eastAsia="Arial" w:hAnsi="Arial"/>
                <w:sz w:val="18"/>
                <w:szCs w:val="18"/>
                <w:color w:val="auto"/>
                <w:w w:val="90"/>
              </w:rPr>
              <w:t>July 1, 2021</w:t>
            </w:r>
          </w:p>
        </w:tc>
      </w:tr>
      <w:tr>
        <w:trPr>
          <w:trHeight w:val="224"/>
        </w:trPr>
        <w:tc>
          <w:tcPr>
            <w:tcW w:w="2920" w:type="dxa"/>
            <w:vAlign w:val="bottom"/>
            <w:gridSpan w:val="3"/>
          </w:tcPr>
          <w:p>
            <w:pPr>
              <w:spacing w:after="0"/>
              <w:rPr>
                <w:sz w:val="20"/>
                <w:szCs w:val="20"/>
                <w:color w:val="auto"/>
              </w:rPr>
            </w:pPr>
            <w:r>
              <w:rPr>
                <w:rFonts w:ascii="Arial" w:cs="Arial" w:eastAsia="Arial" w:hAnsi="Arial"/>
                <w:sz w:val="18"/>
                <w:szCs w:val="18"/>
                <w:color w:val="auto"/>
              </w:rPr>
              <w:t>Philip Kantoff</w:t>
            </w:r>
          </w:p>
        </w:tc>
        <w:tc>
          <w:tcPr>
            <w:tcW w:w="2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853"/>
              <w:spacing w:after="0"/>
              <w:rPr>
                <w:sz w:val="20"/>
                <w:szCs w:val="20"/>
                <w:color w:val="auto"/>
              </w:rPr>
            </w:pPr>
            <w:r>
              <w:rPr>
                <w:rFonts w:ascii="Arial" w:cs="Arial" w:eastAsia="Arial" w:hAnsi="Arial"/>
                <w:sz w:val="18"/>
                <w:szCs w:val="18"/>
                <w:color w:val="auto"/>
                <w:w w:val="90"/>
              </w:rPr>
              <w:t>July 1, 2021</w:t>
            </w:r>
          </w:p>
        </w:tc>
      </w:tr>
      <w:tr>
        <w:trPr>
          <w:trHeight w:val="224"/>
        </w:trPr>
        <w:tc>
          <w:tcPr>
            <w:tcW w:w="2920" w:type="dxa"/>
            <w:vAlign w:val="bottom"/>
            <w:gridSpan w:val="3"/>
          </w:tcPr>
          <w:p>
            <w:pPr>
              <w:spacing w:after="0"/>
              <w:rPr>
                <w:sz w:val="20"/>
                <w:szCs w:val="20"/>
                <w:color w:val="auto"/>
              </w:rPr>
            </w:pPr>
            <w:r>
              <w:rPr>
                <w:rFonts w:ascii="Arial" w:cs="Arial" w:eastAsia="Arial" w:hAnsi="Arial"/>
                <w:sz w:val="18"/>
                <w:szCs w:val="18"/>
                <w:color w:val="auto"/>
              </w:rPr>
              <w:t>Jennifer Evans Stacey</w:t>
            </w:r>
          </w:p>
        </w:tc>
        <w:tc>
          <w:tcPr>
            <w:tcW w:w="2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853"/>
              <w:spacing w:after="0"/>
              <w:rPr>
                <w:sz w:val="20"/>
                <w:szCs w:val="20"/>
                <w:color w:val="auto"/>
              </w:rPr>
            </w:pPr>
            <w:r>
              <w:rPr>
                <w:rFonts w:ascii="Arial" w:cs="Arial" w:eastAsia="Arial" w:hAnsi="Arial"/>
                <w:sz w:val="18"/>
                <w:szCs w:val="18"/>
                <w:color w:val="auto"/>
                <w:w w:val="90"/>
              </w:rPr>
              <w:t>July 1, 2021</w:t>
            </w:r>
          </w:p>
        </w:tc>
      </w:tr>
      <w:tr>
        <w:trPr>
          <w:trHeight w:val="222"/>
        </w:trPr>
        <w:tc>
          <w:tcPr>
            <w:tcW w:w="2920" w:type="dxa"/>
            <w:vAlign w:val="bottom"/>
            <w:gridSpan w:val="3"/>
          </w:tcPr>
          <w:p>
            <w:pPr>
              <w:spacing w:after="0"/>
              <w:rPr>
                <w:sz w:val="20"/>
                <w:szCs w:val="20"/>
                <w:color w:val="auto"/>
              </w:rPr>
            </w:pPr>
            <w:r>
              <w:rPr>
                <w:rFonts w:ascii="Arial" w:cs="Arial" w:eastAsia="Arial" w:hAnsi="Arial"/>
                <w:sz w:val="18"/>
                <w:szCs w:val="18"/>
                <w:color w:val="auto"/>
              </w:rPr>
              <w:t>Linda West</w:t>
            </w:r>
          </w:p>
        </w:tc>
        <w:tc>
          <w:tcPr>
            <w:tcW w:w="2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*By:  /s/ Martin Lehr</w:t>
            </w:r>
          </w:p>
        </w:tc>
        <w:tc>
          <w:tcPr>
            <w:tcW w:w="2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9"/>
        </w:trPr>
        <w:tc>
          <w:tcPr>
            <w:tcW w:w="540" w:type="dxa"/>
            <w:vAlign w:val="bottom"/>
          </w:tcPr>
          <w:p>
            <w:pPr>
              <w:spacing w:after="0"/>
              <w:rPr>
                <w:sz w:val="18"/>
                <w:szCs w:val="18"/>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Martin Lehr</w:t>
            </w:r>
          </w:p>
        </w:tc>
        <w:tc>
          <w:tcPr>
            <w:tcW w:w="204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8"/>
        </w:trPr>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gridSpan w:val="3"/>
          </w:tcPr>
          <w:p>
            <w:pPr>
              <w:ind w:left="400"/>
              <w:spacing w:after="0"/>
              <w:rPr>
                <w:sz w:val="20"/>
                <w:szCs w:val="20"/>
                <w:color w:val="auto"/>
              </w:rPr>
            </w:pPr>
            <w:r>
              <w:rPr>
                <w:rFonts w:ascii="Arial" w:cs="Arial" w:eastAsia="Arial" w:hAnsi="Arial"/>
                <w:sz w:val="18"/>
                <w:szCs w:val="18"/>
                <w:color w:val="auto"/>
              </w:rPr>
              <w:t>II-6</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Context Therapeutics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THINKEQUITY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DIVISION OF FORDHAM FINANCIAL MANAGEMENT,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Representative of the Several Underwriters</w:t>
      </w:r>
    </w:p>
    <w:p>
      <w:pPr>
        <w:sectPr>
          <w:pgSz w:w="11900" w:h="16838" w:orient="portrait"/>
          <w:cols w:equalWidth="0" w:num="1">
            <w:col w:w="10020"/>
          </w:cols>
          <w:pgMar w:left="1440" w:top="121" w:right="439" w:bottom="1440" w:gutter="0" w:footer="0" w:header="0"/>
        </w:sectPr>
      </w:pPr>
    </w:p>
    <w:bookmarkStart w:id="201" w:name="page202"/>
    <w:bookmarkEnd w:id="20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Context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ThinkEquity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 Division of Fordham Financial Management, Inc.</w:t>
      </w:r>
    </w:p>
    <w:p>
      <w:pPr>
        <w:spacing w:after="0" w:line="211" w:lineRule="exact"/>
        <w:rPr>
          <w:sz w:val="20"/>
          <w:szCs w:val="20"/>
          <w:color w:val="auto"/>
        </w:rPr>
      </w:pPr>
    </w:p>
    <w:p>
      <w:pPr>
        <w:ind w:left="4" w:right="4980"/>
        <w:spacing w:after="0" w:line="258" w:lineRule="auto"/>
        <w:rPr>
          <w:sz w:val="20"/>
          <w:szCs w:val="20"/>
          <w:color w:val="auto"/>
        </w:rPr>
      </w:pPr>
      <w:r>
        <w:rPr>
          <w:rFonts w:ascii="Arial" w:cs="Arial" w:eastAsia="Arial" w:hAnsi="Arial"/>
          <w:sz w:val="18"/>
          <w:szCs w:val="18"/>
          <w:color w:val="auto"/>
        </w:rPr>
        <w:t>As Representative of the several Underwriters named on Schedule 1 attached hereto 17 State Street, 22</w:t>
      </w:r>
      <w:r>
        <w:rPr>
          <w:rFonts w:ascii="Arial" w:cs="Arial" w:eastAsia="Arial" w:hAnsi="Arial"/>
          <w:sz w:val="15"/>
          <w:szCs w:val="15"/>
          <w:color w:val="auto"/>
        </w:rPr>
        <w:t>nd</w:t>
      </w:r>
      <w:r>
        <w:rPr>
          <w:rFonts w:ascii="Arial" w:cs="Arial" w:eastAsia="Arial" w:hAnsi="Arial"/>
          <w:sz w:val="18"/>
          <w:szCs w:val="18"/>
          <w:color w:val="auto"/>
        </w:rPr>
        <w:t xml:space="preserve"> Fl</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color w:val="auto"/>
        </w:rPr>
        <w:t>The undersigned, Context Therapeutics Inc., a corporation formed under the laws of the State of Delaware (, the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ThinkEquity, a division of Fordham Financial Management, Inc., (hereinafter referred to as “you” (including its correlatives) or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for which the Representative is acting as representative (the Representative and such other underwriters being collectively called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79" w:lineRule="exact"/>
        <w:rPr>
          <w:sz w:val="20"/>
          <w:szCs w:val="20"/>
          <w:color w:val="auto"/>
        </w:rPr>
      </w:pPr>
    </w:p>
    <w:p>
      <w:pPr>
        <w:ind w:left="444" w:right="8780" w:hanging="444"/>
        <w:spacing w:after="0" w:line="422" w:lineRule="auto"/>
        <w:tabs>
          <w:tab w:leader="none" w:pos="184"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xml:space="preserve">. 1.1 </w:t>
      </w:r>
      <w:r>
        <w:rPr>
          <w:rFonts w:ascii="Arial" w:cs="Arial" w:eastAsia="Arial" w:hAnsi="Arial"/>
          <w:sz w:val="16"/>
          <w:szCs w:val="16"/>
          <w:i w:val="1"/>
          <w:iCs w:val="1"/>
          <w:u w:val="single" w:color="auto"/>
          <w:color w:val="auto"/>
        </w:rPr>
        <w:t>Firm Shares</w:t>
      </w:r>
      <w:r>
        <w:rPr>
          <w:rFonts w:ascii="Arial" w:cs="Arial" w:eastAsia="Arial" w:hAnsi="Arial"/>
          <w:sz w:val="16"/>
          <w:szCs w:val="16"/>
          <w:i w:val="1"/>
          <w:iCs w:val="1"/>
          <w:color w:val="auto"/>
        </w:rPr>
        <w:t>.</w:t>
      </w:r>
    </w:p>
    <w:p>
      <w:pPr>
        <w:ind w:left="984"/>
        <w:spacing w:after="0"/>
        <w:rPr>
          <w:rFonts w:ascii="Arial" w:cs="Arial" w:eastAsia="Arial" w:hAnsi="Arial"/>
          <w:sz w:val="16"/>
          <w:szCs w:val="16"/>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Nature and Purchase of Firm Shares</w:t>
      </w:r>
      <w:r>
        <w:rPr>
          <w:rFonts w:ascii="Arial" w:cs="Arial" w:eastAsia="Arial" w:hAnsi="Arial"/>
          <w:sz w:val="18"/>
          <w:szCs w:val="18"/>
          <w:color w:val="auto"/>
        </w:rPr>
        <w:t>.</w:t>
      </w:r>
    </w:p>
    <w:p>
      <w:pPr>
        <w:spacing w:after="0" w:line="117" w:lineRule="exact"/>
        <w:rPr>
          <w:rFonts w:ascii="Arial" w:cs="Arial" w:eastAsia="Arial" w:hAnsi="Arial"/>
          <w:sz w:val="16"/>
          <w:szCs w:val="16"/>
          <w:color w:val="auto"/>
        </w:rPr>
      </w:pPr>
    </w:p>
    <w:p>
      <w:pPr>
        <w:jc w:val="both"/>
        <w:ind w:left="4" w:right="240" w:firstLine="1428"/>
        <w:spacing w:after="0" w:line="263" w:lineRule="auto"/>
        <w:tabs>
          <w:tab w:leader="none" w:pos="16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On the basis of the representations and warranties herein contained, but subject to the terms and conditions herein set forth, the Company agrees to issue and sell to the several Underwriters, an aggregate of [●] shares (“Firm Shares”) of the Company’s common stock, par value $0.0001 per share (the “Common Stock”).</w:t>
      </w:r>
    </w:p>
    <w:p>
      <w:pPr>
        <w:spacing w:after="0" w:line="75" w:lineRule="exact"/>
        <w:rPr>
          <w:rFonts w:ascii="Arial" w:cs="Arial" w:eastAsia="Arial" w:hAnsi="Arial"/>
          <w:sz w:val="18"/>
          <w:szCs w:val="18"/>
          <w:color w:val="auto"/>
        </w:rPr>
      </w:pPr>
    </w:p>
    <w:p>
      <w:pPr>
        <w:ind w:left="4" w:right="140" w:firstLine="1428"/>
        <w:spacing w:after="0" w:line="259" w:lineRule="auto"/>
        <w:tabs>
          <w:tab w:leader="none" w:pos="1701"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Underwriters, severally and not jointly, agree to purchase from the Company the number of Firm Shares set forth opposite their respective names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and made a part hereof at a purchase price of $[●] per share (92.5%of the per Firm Share offering price). The Firm Shares are to be offered initially to the public at the offering price set forth on the cover page of the Prospectus (as defined in Section 2.1.1 hereof).</w:t>
      </w:r>
    </w:p>
    <w:p>
      <w:pPr>
        <w:spacing w:after="0" w:line="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Shares Payment and Delivery</w:t>
      </w:r>
      <w:r>
        <w:rPr>
          <w:rFonts w:ascii="Arial" w:cs="Arial" w:eastAsia="Arial" w:hAnsi="Arial"/>
          <w:sz w:val="18"/>
          <w:szCs w:val="18"/>
          <w:color w:val="auto"/>
        </w:rPr>
        <w:t>.</w:t>
      </w:r>
    </w:p>
    <w:p>
      <w:pPr>
        <w:spacing w:after="0" w:line="117" w:lineRule="exact"/>
        <w:rPr>
          <w:sz w:val="20"/>
          <w:szCs w:val="20"/>
          <w:color w:val="auto"/>
        </w:rPr>
      </w:pPr>
    </w:p>
    <w:p>
      <w:pPr>
        <w:ind w:left="4" w:right="40" w:firstLine="1428"/>
        <w:spacing w:after="0" w:line="255" w:lineRule="auto"/>
        <w:tabs>
          <w:tab w:leader="none" w:pos="16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Delivery and payment for the Firm Shares shall be made at 10:00 a.m., Eastern time, on the second (2</w:t>
      </w:r>
      <w:r>
        <w:rPr>
          <w:rFonts w:ascii="Arial" w:cs="Arial" w:eastAsia="Arial" w:hAnsi="Arial"/>
          <w:sz w:val="15"/>
          <w:szCs w:val="15"/>
          <w:color w:val="auto"/>
        </w:rPr>
        <w:t>nd</w:t>
      </w:r>
      <w:r>
        <w:rPr>
          <w:rFonts w:ascii="Arial" w:cs="Arial" w:eastAsia="Arial" w:hAnsi="Arial"/>
          <w:sz w:val="18"/>
          <w:szCs w:val="18"/>
          <w:color w:val="auto"/>
        </w:rPr>
        <w:t>) Business Day following the effective date (the “Effective Date”) of the Registration Statement (as defined in Section 2.1.1 below) (or the third (3</w:t>
      </w:r>
      <w:r>
        <w:rPr>
          <w:rFonts w:ascii="Arial" w:cs="Arial" w:eastAsia="Arial" w:hAnsi="Arial"/>
          <w:sz w:val="15"/>
          <w:szCs w:val="15"/>
          <w:color w:val="auto"/>
        </w:rPr>
        <w:t>rd</w:t>
      </w:r>
      <w:r>
        <w:rPr>
          <w:rFonts w:ascii="Arial" w:cs="Arial" w:eastAsia="Arial" w:hAnsi="Arial"/>
          <w:sz w:val="18"/>
          <w:szCs w:val="18"/>
          <w:color w:val="auto"/>
        </w:rPr>
        <w:t>) Business Day following the Effective Date if the Registration Statement is declared effective after 4:00 p.m., Eastern time) or at such earlier time as shall be agreed upon by the Representative and the Company, at the offices of Venable LLP (“Representative Counsel”), or at such other place (or remotely by facsimile or other electronic transmission) as shall be agreed upon by the Representative and the Company. The hour and date of delivery and payment for the Firm Shares is called the “Closing Date.”</w:t>
      </w:r>
    </w:p>
    <w:p>
      <w:pPr>
        <w:sectPr>
          <w:pgSz w:w="11900" w:h="16838" w:orient="portrait"/>
          <w:cols w:equalWidth="0" w:num="1">
            <w:col w:w="11024"/>
          </w:cols>
          <w:pgMar w:left="436" w:top="270" w:right="439" w:bottom="1440" w:gutter="0" w:footer="0" w:header="0"/>
        </w:sectPr>
      </w:pPr>
    </w:p>
    <w:bookmarkStart w:id="202" w:name="page203"/>
    <w:bookmarkEnd w:id="202"/>
    <w:p>
      <w:pPr>
        <w:ind w:firstLine="1428"/>
        <w:spacing w:after="0" w:line="254" w:lineRule="auto"/>
        <w:tabs>
          <w:tab w:leader="none" w:pos="1697"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for the Firm Shares shall be made on the Closing Date by wire transfer in Federal (same day) funds, payable to the order of the Company upon delivery of the certificates (in form and substance satisfactory to the Underwriters) representing the Firm Shares (or through the facilities of the Depository Trust Company (“DTC”)) for the account of the Underwriters. The Firm Shares shall be registered in such name or names and in such authorized denominations as the Representative may request in writing at least two (2) full Business Days prior to the Closing Date. The Company shall not be obligated to sell or deliver the Firm Shares except upon tender of payment by the Representative for all of the Firm Shares. The term “Business Day” means any day other than a Saturday, a Sunday or a legal holiday or a day on which banking institutions are authorized or obligated by law to close in New York, New York.</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Over-allotment Option</w:t>
      </w:r>
      <w:r>
        <w:rPr>
          <w:rFonts w:ascii="Arial" w:cs="Arial" w:eastAsia="Arial" w:hAnsi="Arial"/>
          <w:sz w:val="18"/>
          <w:szCs w:val="18"/>
          <w:i w:val="1"/>
          <w:iCs w:val="1"/>
          <w:color w:val="auto"/>
        </w:rPr>
        <w:t>.</w:t>
      </w:r>
    </w:p>
    <w:p>
      <w:pPr>
        <w:spacing w:after="0" w:line="117"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Option Shares</w:t>
      </w:r>
      <w:r>
        <w:rPr>
          <w:rFonts w:ascii="Arial" w:cs="Arial" w:eastAsia="Arial" w:hAnsi="Arial"/>
          <w:sz w:val="16"/>
          <w:szCs w:val="16"/>
          <w:color w:val="auto"/>
        </w:rPr>
        <w:t>. For the purposes of covering any over-allotments in connection with the distribution and sale of the Firm Shares, the Company hereby grants to the Underwriters an option to purchase up to [●] additional shares of Common Stock, representing fifteen percent (15%) of the Firm Shares sold in the offering, from the Company (the “Over-allotment Option”). Such [●] additional shares of Common Stock, the net proceeds of which will be deposited with the Company’s account, are hereinafter referred to as “Option Shares.” The purchase price to be paid per Option Share shall be equal to the price per Firm Share set forth in Section 1.1.1 hereof. The Firm Shares and the Option Shares are hereinafter referred to together as the “Public Securities.” The offering and sale of the Public Securities is hereinafter referred to as the “Offering.”</w:t>
      </w:r>
    </w:p>
    <w:p>
      <w:pPr>
        <w:spacing w:after="0" w:line="56"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Exercise of Option</w:t>
      </w:r>
      <w:r>
        <w:rPr>
          <w:rFonts w:ascii="Arial" w:cs="Arial" w:eastAsia="Arial" w:hAnsi="Arial"/>
          <w:sz w:val="16"/>
          <w:szCs w:val="16"/>
          <w:color w:val="auto"/>
        </w:rPr>
        <w:t xml:space="preserve">. The Over-allotment Option granted pursuant to Section 1.2.1 hereof may be exercised by the Representative as to all (at any time) or any part (from time to time) of the Option Shares within 45 days after the Effective Date. The Underwriters shall not be under any obligation to purchase any Option Shares prior to the exercise of the Over-allotment Option.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(the “Option Closing Date”), which shall not be later than one (1) full Business Days after the date of the notice or such other time as shall be agreed upon by the Company and the Representative, at the offices of Representative Counsel or at such other place (including remotely by facsimile or other electronic transmission) as shall be agreed upon by the Company and the Representative. If such delivery and payment for the Option Shares does not occur on the Closing Date, the Option Closing Date will be as set forth in the notice. Upon exercise of the Over-allotment Option with respect to all or any portion of the Option Shares, subject to the terms and conditions set forth herein, (i) the Company shall become obligated to sell to the Underwriters the number of Option Shares specified in such notice and (ii) each of the Underwriters, acting severally and not jointly, shall purchase that portion of the total number of Option Shares then being purchased as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opposite the name of such Underwriter.</w:t>
      </w:r>
    </w:p>
    <w:p>
      <w:pPr>
        <w:spacing w:after="0" w:line="60"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for the Option Shares shall be made on the Option Closing Date by wire transfer in Federal (same day) funds, payable to the order of the Company upon delivery to you of certificates (in form and substance satisfactory to the Underwriters) representing the Option Shares (or through the facilities of DTC) for the account of the Underwriters. The Option Shares shall be registered in such name or names and in such authorized denominations as the Representative may request in writing at least one (1) full Business Day prior to the Option Closing Date. The Company shall not be obligated to sell or deliver the Option Shares except upon tender of payment by the Representative for applicable Option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203" w:name="page204"/>
    <w:bookmarkEnd w:id="20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Arial" w:cs="Arial" w:eastAsia="Arial" w:hAnsi="Arial"/>
          <w:sz w:val="18"/>
          <w:szCs w:val="18"/>
          <w:i w:val="1"/>
          <w:iCs w:val="1"/>
          <w:u w:val="single" w:color="auto"/>
          <w:color w:val="auto"/>
        </w:rPr>
        <w:t>Representative’s Warrants</w:t>
      </w:r>
      <w:r>
        <w:rPr>
          <w:rFonts w:ascii="Arial" w:cs="Arial" w:eastAsia="Arial" w:hAnsi="Arial"/>
          <w:sz w:val="18"/>
          <w:szCs w:val="18"/>
          <w:i w:val="1"/>
          <w:iCs w:val="1"/>
          <w:color w:val="auto"/>
        </w:rPr>
        <w:t>.</w:t>
      </w:r>
    </w:p>
    <w:p>
      <w:pPr>
        <w:spacing w:after="0" w:line="117"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Purchase Warrants</w:t>
      </w:r>
      <w:r>
        <w:rPr>
          <w:rFonts w:ascii="Arial" w:cs="Arial" w:eastAsia="Arial" w:hAnsi="Arial"/>
          <w:sz w:val="16"/>
          <w:szCs w:val="16"/>
          <w:color w:val="auto"/>
        </w:rPr>
        <w:t xml:space="preserve">. The Company hereby agrees to issue and sell to the Representative (and/or its designees) on the Closing Date an option (“Representative’s Warrant”) for the purchase of an aggregate of [●] shares of Common Stock, representing 5% of the Firm Shares, for an aggregate purchase price of $100.00. The Representative’s Warrant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“Representative’s Warrant Agreement”), shall be exercisable, in whole or in part, commencing on a date which is six months after the Effective Date and expiring on the fifty-four month anniversary of the Effective Date at an initial exercise price per share of Common Stock of $[●], which is equal to 125% of the initial public offering price of the Firm Shares. The Representative’s Warrant Agreement and the shares of Common Stock issuable upon exercise thereof are hereinafter referred to together as the “Representative’s Securities.” The Representative understands and agrees that there are significant restrictions pursuant to FINRA Rule 5110 against transferring the Representative’s Warrant Agreement and the underlying shares of Common Stock during the one hundred eighty (180) days after the Effective Date and by its acceptance thereof shall agree that it will not sell, transfer, assign, pledge or hypothecate the Representative’s Warrant Agreement, or any portion thereof, or be the subject of any hedging, short sale, derivative, put or call transaction that would result in the effective economic disposition of such securities for a period of one hundred eighty (180) days following the Effective Date to anyone other than (i) an Underwriter or a selected dealer in connection with the Offering, or (ii) a bona fide officer or partner of the Representative or of any such Underwriter or selected dealer; and only if any such transferee agrees to the foregoing lock-up restrictions.</w:t>
      </w:r>
    </w:p>
    <w:p>
      <w:pPr>
        <w:spacing w:after="0" w:line="66"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Delivery</w:t>
      </w:r>
      <w:r>
        <w:rPr>
          <w:rFonts w:ascii="Arial" w:cs="Arial" w:eastAsia="Arial" w:hAnsi="Arial"/>
          <w:sz w:val="18"/>
          <w:szCs w:val="18"/>
          <w:color w:val="auto"/>
        </w:rPr>
        <w:t>. Delivery of the Representative’s Warrant Agreement shall be made on the Closing Date and shall be issued in the name or names and in such authorized denominations as the Representative may request.</w:t>
      </w:r>
    </w:p>
    <w:p>
      <w:pPr>
        <w:spacing w:after="0" w:line="62" w:lineRule="exact"/>
        <w:rPr>
          <w:sz w:val="20"/>
          <w:szCs w:val="20"/>
          <w:color w:val="auto"/>
        </w:rPr>
      </w:pPr>
    </w:p>
    <w:p>
      <w:pPr>
        <w:ind w:left="4" w:right="280" w:hanging="4"/>
        <w:spacing w:after="0" w:line="277" w:lineRule="auto"/>
        <w:tabs>
          <w:tab w:leader="none" w:pos="18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of the Applicable Time (as defined below), as of the Closing Date and as of the Option Closing Date, if any, as follows: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u w:val="single" w:color="auto"/>
          <w:color w:val="auto"/>
        </w:rPr>
        <w:t>Filing of Registration Statement</w:t>
      </w:r>
      <w:r>
        <w:rPr>
          <w:rFonts w:ascii="Arial" w:cs="Arial" w:eastAsia="Arial" w:hAnsi="Arial"/>
          <w:sz w:val="18"/>
          <w:szCs w:val="18"/>
          <w:i w:val="1"/>
          <w:iCs w:val="1"/>
          <w:color w:val="auto"/>
        </w:rPr>
        <w:t>.</w:t>
      </w:r>
    </w:p>
    <w:p>
      <w:pPr>
        <w:spacing w:after="0" w:line="117"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Pursuant to the Securities Act</w:t>
      </w:r>
      <w:r>
        <w:rPr>
          <w:rFonts w:ascii="Arial" w:cs="Arial" w:eastAsia="Arial" w:hAnsi="Arial"/>
          <w:sz w:val="16"/>
          <w:szCs w:val="16"/>
          <w:color w:val="auto"/>
        </w:rPr>
        <w:t>. The Company has filed with the U.S. Securities and Exchange Commission (the “Commission”) a registration statement, and an amendment or amendments thereto, on Form S-1 (File No. 333-256572), including any related prospectus or prospectuses, for the registration of the Public Securities under the Securities Act of 1933, as amended (the “Securities Act”), which registration statement and amendment or amendments have been prepared by the Company in all material respects in conformity with the requirements of the Securities Act and the rules and regulations of the Commission under the Securities Act (the “Securities Act Regulations”) and will contain all material statements that are required to be stated therein in accordance with the Securities Act and the Securities Act Regulations. Except as the context may otherwise require, such registration statement, as amended, on file with the Commission at the time the registration statement became effective (including the Preliminary Prospectus included in the registration statement, financial statements, schedules, exhibits and all other documents filed as a part thereof or incorporated therein and all information deemed to be a part thereof as of the Effective Date pursuant to paragraph (b) of Rule 430A of the Securities Act Regulations (the “Rule 430A Information”)), is referred to herein as the “Registration Statement.” If the Company files any registration statement pursuant to Rule 462(b) of the Securities Act Regulations, then after such filing, the term “Registration Statement” shall include such registration statement filed pursuant to Rule 462(b). The Registration Statement has been declared effective by the Commission on the date hereof.</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4"/>
          </w:cols>
          <w:pgMar w:left="436" w:top="274" w:right="479" w:bottom="1440" w:gutter="0" w:footer="0" w:header="0"/>
        </w:sectPr>
      </w:pPr>
    </w:p>
    <w:bookmarkStart w:id="204" w:name="page205"/>
    <w:bookmarkEnd w:id="204"/>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Preliminary Prospectus, subject to completion, dated [●], 2021, that was included in the Registration Statement immediately prior to the Applicable Time is hereinafter called the “Pricing Prospectus.” The final prospectus in the form first furnished to the Underwriters for use in the Offering is hereinafter called the “Prospectus.” Any reference to the “most recent Preliminary Prospectus” shall be deemed to refer to the latest Preliminary Prospectus included in the Registration Statement.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“Applicable Time” means [TIME] [a.m./p.m.], Eastern time, on the date of this Agreement.</w:t>
      </w:r>
    </w:p>
    <w:p>
      <w:pPr>
        <w:spacing w:after="0" w:line="22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“Issuer Free Writing Prospectus” means any “issuer free writing prospectus,” as defined in Rule 433 of the Securities Act Regulations (“Rule 433”),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w:t>
      </w:r>
    </w:p>
    <w:p>
      <w:pPr>
        <w:spacing w:after="0" w:line="1" w:lineRule="exact"/>
        <w:rPr>
          <w:sz w:val="20"/>
          <w:szCs w:val="20"/>
          <w:color w:val="auto"/>
        </w:rPr>
      </w:pPr>
    </w:p>
    <w:p>
      <w:pPr>
        <w:ind w:left="4" w:right="500" w:hanging="4"/>
        <w:spacing w:after="0" w:line="323" w:lineRule="auto"/>
        <w:tabs>
          <w:tab w:leader="none" w:pos="219"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38"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“Bona Fide Electronic Road Show”)), as evidenced by its being specified in </w:t>
      </w:r>
      <w:r>
        <w:rPr>
          <w:rFonts w:ascii="Arial" w:cs="Arial" w:eastAsia="Arial" w:hAnsi="Arial"/>
          <w:sz w:val="18"/>
          <w:szCs w:val="18"/>
          <w:u w:val="single" w:color="auto"/>
          <w:color w:val="auto"/>
        </w:rPr>
        <w:t>Schedule 2-B</w:t>
      </w:r>
      <w:r>
        <w:rPr>
          <w:rFonts w:ascii="Arial" w:cs="Arial" w:eastAsia="Arial" w:hAnsi="Arial"/>
          <w:sz w:val="18"/>
          <w:szCs w:val="18"/>
          <w:color w:val="auto"/>
        </w:rPr>
        <w:t xml:space="preserve"> hereto.</w:t>
      </w:r>
    </w:p>
    <w:p>
      <w:pPr>
        <w:spacing w:after="0" w:line="184"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 xml:space="preserve">“Pricing Disclosure Package” means any Issuer General Use Free Writing Prospectus issued at or prior to the Applicable Time, the Pricing Prospectus and the information included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hereto, all considered together.</w:t>
      </w:r>
    </w:p>
    <w:p>
      <w:pPr>
        <w:spacing w:after="0" w:line="62" w:lineRule="exact"/>
        <w:rPr>
          <w:sz w:val="20"/>
          <w:szCs w:val="20"/>
          <w:color w:val="auto"/>
        </w:rPr>
      </w:pPr>
    </w:p>
    <w:p>
      <w:pPr>
        <w:ind w:left="4" w:right="160" w:firstLine="991"/>
        <w:spacing w:after="0" w:line="29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Pursuant to the Exchange Act</w:t>
      </w:r>
      <w:r>
        <w:rPr>
          <w:rFonts w:ascii="Arial" w:cs="Arial" w:eastAsia="Arial" w:hAnsi="Arial"/>
          <w:sz w:val="16"/>
          <w:szCs w:val="16"/>
          <w:color w:val="auto"/>
        </w:rPr>
        <w:t>. The Company has filed with the Commission a Form 8-A (File Number 000-[●]) providing for the registration pursuant to Section 12(b) under the Securities Exchange Act of 1934, as amended (the “Exchange Act”), of the shares of Common Stock. The registration of the shares of Common Stock under the Exchange Act has been declared effective by the Commission on or prior to the date hereof. The Company has taken no action designed to, or likely to have the effect of, terminating the registration of the shares of Common Stock under the Exchange Act, nor has the Company received any notification that the Commission is contemplating terminating such registration.</w:t>
      </w:r>
    </w:p>
    <w:p>
      <w:pPr>
        <w:spacing w:after="0" w:line="53"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shares of Common Stock have been approved for listing on the NASDAQ Capital Market (the “Exchange”), and the Company has taken no action designed to, or likely to have the effect of, delisting the shares of Common Stock from the Exchange, nor has the Company received any notification that the Exchange is contemplating terminating such listing except as described in the Registration Statement, the Pricing Disclosure Package and the Prospectus.</w:t>
      </w:r>
    </w:p>
    <w:p>
      <w:pPr>
        <w:spacing w:after="0" w:line="79"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4"/>
          </w:cols>
          <w:pgMar w:left="436" w:top="274" w:right="459" w:bottom="1440" w:gutter="0" w:footer="0" w:header="0"/>
        </w:sectPr>
      </w:pPr>
    </w:p>
    <w:bookmarkStart w:id="205" w:name="page206"/>
    <w:bookmarkEnd w:id="2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Arial" w:cs="Arial" w:eastAsia="Arial" w:hAnsi="Arial"/>
          <w:sz w:val="18"/>
          <w:szCs w:val="18"/>
          <w:u w:val="single" w:color="auto"/>
          <w:color w:val="auto"/>
        </w:rPr>
        <w:t>Disclosures in Registration Statement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Compliance with Securities Act and 10b-5 Representation</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93" w:lineRule="auto"/>
        <w:tabs>
          <w:tab w:leader="none" w:pos="16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56" w:lineRule="exact"/>
        <w:rPr>
          <w:rFonts w:ascii="Arial" w:cs="Arial" w:eastAsia="Arial" w:hAnsi="Arial"/>
          <w:sz w:val="16"/>
          <w:szCs w:val="16"/>
          <w:color w:val="auto"/>
        </w:rPr>
      </w:pPr>
    </w:p>
    <w:p>
      <w:pPr>
        <w:ind w:right="220" w:firstLine="1428"/>
        <w:spacing w:after="0" w:line="286" w:lineRule="auto"/>
        <w:tabs>
          <w:tab w:leader="none" w:pos="1697" w:val="left"/>
        </w:tabs>
        <w:numPr>
          <w:ilvl w:val="0"/>
          <w:numId w:val="88"/>
        </w:numPr>
        <w:rPr>
          <w:rFonts w:ascii="Arial" w:cs="Arial" w:eastAsia="Arial" w:hAnsi="Arial"/>
          <w:sz w:val="17"/>
          <w:szCs w:val="17"/>
          <w:color w:val="auto"/>
        </w:rPr>
      </w:pPr>
      <w:r>
        <w:rPr>
          <w:rFonts w:ascii="Arial" w:cs="Arial" w:eastAsia="Arial" w:hAnsi="Arial"/>
          <w:sz w:val="17"/>
          <w:szCs w:val="17"/>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w:t>
      </w:r>
    </w:p>
    <w:p>
      <w:pPr>
        <w:spacing w:after="0" w:line="57" w:lineRule="exact"/>
        <w:rPr>
          <w:rFonts w:ascii="Arial" w:cs="Arial" w:eastAsia="Arial" w:hAnsi="Arial"/>
          <w:sz w:val="17"/>
          <w:szCs w:val="17"/>
          <w:color w:val="auto"/>
        </w:rPr>
      </w:pPr>
    </w:p>
    <w:p>
      <w:pPr>
        <w:ind w:right="20" w:firstLine="1428"/>
        <w:spacing w:after="0" w:line="287" w:lineRule="auto"/>
        <w:tabs>
          <w:tab w:leader="none" w:pos="17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Underwriters by the Representative expressly for use in the Registration Statement, the Pricing Prospectus or the Prospectus or any amendment thereof or supplement thereto. The parties acknowledge and agree that such information provided by or on behalf of any Underwriter consists solely of the following disclosure contained in the “Underwriting” section of the Prospectus: [______________] (the “Underwriters’ Information”); and</w:t>
      </w:r>
    </w:p>
    <w:p>
      <w:pPr>
        <w:spacing w:after="0" w:line="63" w:lineRule="exact"/>
        <w:rPr>
          <w:rFonts w:ascii="Arial" w:cs="Arial" w:eastAsia="Arial" w:hAnsi="Arial"/>
          <w:sz w:val="16"/>
          <w:szCs w:val="16"/>
          <w:color w:val="auto"/>
        </w:rPr>
      </w:pPr>
    </w:p>
    <w:p>
      <w:pPr>
        <w:jc w:val="both"/>
        <w:ind w:right="20" w:firstLine="1428"/>
        <w:spacing w:after="0" w:line="286" w:lineRule="auto"/>
        <w:tabs>
          <w:tab w:leader="none" w:pos="1737" w:val="left"/>
        </w:tabs>
        <w:numPr>
          <w:ilvl w:val="0"/>
          <w:numId w:val="88"/>
        </w:numPr>
        <w:rPr>
          <w:rFonts w:ascii="Arial" w:cs="Arial" w:eastAsia="Arial" w:hAnsi="Arial"/>
          <w:sz w:val="16"/>
          <w:szCs w:val="16"/>
          <w:color w:val="auto"/>
        </w:rPr>
      </w:pPr>
      <w:r>
        <w:rPr>
          <w:rFonts w:ascii="Arial" w:cs="Arial" w:eastAsia="Arial" w:hAnsi="Arial"/>
          <w:sz w:val="16"/>
          <w:szCs w:val="16"/>
          <w:color w:val="auto"/>
        </w:rPr>
        <w:t>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Underwriters’ Information.</w:t>
      </w:r>
    </w:p>
    <w:p>
      <w:pPr>
        <w:spacing w:after="0" w:line="103"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u w:val="single" w:color="auto"/>
          <w:color w:val="auto"/>
        </w:rPr>
        <w:t>Disclosure of Agreements</w:t>
      </w:r>
      <w:r>
        <w:rPr>
          <w:rFonts w:ascii="Arial" w:cs="Arial" w:eastAsia="Arial" w:hAnsi="Arial"/>
          <w:sz w:val="16"/>
          <w:szCs w:val="16"/>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206" w:name="page207"/>
    <w:bookmarkEnd w:id="20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bound or affected and (i) that is referred to in the Registration Statement, the Pricing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(each, a “Governmental Entity”), including, without limitation, those relating to environmental laws and regulations.</w:t>
      </w:r>
    </w:p>
    <w:p>
      <w:pPr>
        <w:spacing w:after="0" w:line="71"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u w:val="single" w:color="auto"/>
          <w:color w:val="auto"/>
        </w:rPr>
        <w:t>Regulations</w:t>
      </w:r>
      <w:r>
        <w:rPr>
          <w:rFonts w:ascii="Arial" w:cs="Arial" w:eastAsia="Arial" w:hAnsi="Arial"/>
          <w:sz w:val="18"/>
          <w:szCs w:val="18"/>
          <w:color w:val="auto"/>
        </w:rPr>
        <w:t>. The disclosures in the Registration Statement, the Pricing Disclosure Package and the Prospectus concerning the effects of federal, state, local and all foreign regulation on the Offering and the Company’s business as currently contemplated are correct in all material respects and no other such regulations are required to be disclosed in the Registration Statement, the Pricing Disclosure Package and the Prospectus which are not so disclosed.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Changes After Dates in Registration Statement</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the respective dates as of which information is given in the Registration Statement, the Pricing Disclosure Package and the Prospectus, except as otherwise specifically stated therein: (i) there has been no material adverse change in the financial position or results of operations of the Company, nor any change or development that, singularly or in the aggregate, would involve a material adverse change or a prospective material adverse change, in or affecting the condition (financial or otherwise), results of operations, business, assets or prospects of the Company (a “Material Adverse Change”); (ii) there have been no material transactions entered into by the Company, other than as contemplated pursuant to this Agreement, except as described in the Registration Statement, the Pricing Disclosure Package and the Prospectus; and (iii) no officer or director of the Company has resigned from any position with the Company.</w:t>
      </w:r>
    </w:p>
    <w:p>
      <w:pPr>
        <w:spacing w:after="0" w:line="69"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Recent Securities Transactions, etc</w:t>
      </w:r>
      <w:r>
        <w:rPr>
          <w:rFonts w:ascii="Arial" w:cs="Arial" w:eastAsia="Arial" w:hAnsi="Arial"/>
          <w:sz w:val="18"/>
          <w:szCs w:val="18"/>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207" w:name="page208"/>
    <w:bookmarkEnd w:id="207"/>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knowledge of the Company, CohnReznick LLP (the “Auditor”),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The Auditor has not, during the periods covered by the financial statements included in the Registration Statement, the Pricing Disclosure Package and the Prospectus, provided to the Company any non-audit services, as such term is used in Section 10A(g) of the Exchange Act.</w:t>
      </w:r>
    </w:p>
    <w:p>
      <w:pPr>
        <w:spacing w:after="0" w:line="6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Financial Statements, etc</w:t>
      </w:r>
      <w:r>
        <w:rPr>
          <w:rFonts w:ascii="Arial" w:cs="Arial" w:eastAsia="Arial" w:hAnsi="Arial"/>
          <w:sz w:val="16"/>
          <w:szCs w:val="16"/>
          <w:color w:val="auto"/>
        </w:rPr>
        <w:t>. The financial statements, including the notes thereto and supporting schedules included in the Registration Statement, the Pricing Disclosure Package and the Prospectus, fairly present the financial position and the results of operations of the Company at the dates and for the periods to which they apply; and such financial statements have been prepared in conformity with U.S. generally accepted accounting principles (“GAAP”),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Registration Statement present fairly the information required to be stated 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comply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Pricing Disclosure Package and the Prospectus, (a) neither the Company nor any of its direct and indirect subsidiaries, including each entity disclosed or described in the Registration Statement, the Pricing Disclosure Package and the Prospectus as being a subsidiary of the Company (each, a “Subsidiary” and, collectively, the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course of business, any grants under any stock compensation plan, and (d) there has not been any material adverse change in the Company’s long-term or short-term debt.</w:t>
      </w:r>
    </w:p>
    <w:p>
      <w:pPr>
        <w:spacing w:after="0" w:line="6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Authorized Capital; Options, etc</w:t>
      </w:r>
      <w:r>
        <w:rPr>
          <w:rFonts w:ascii="Arial" w:cs="Arial" w:eastAsia="Arial" w:hAnsi="Arial"/>
          <w:sz w:val="18"/>
          <w:szCs w:val="18"/>
          <w:color w:val="auto"/>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the adjusted stock capitalization set forth therein. Except as set forth in, or contemplated by, the Registration Statement, the Pricing Disclosure Package and the Prospectus, on the Effective Date, as of the Applicable Time and on the Closing Date and any Option Closing Date, there will be no stock options, warrants, or other rights to purchase or otherwise acquire any authorized, but unissued shares of Common Stock of the Company or any security convertible or exercisable into shares of Common Stock of the Company, or any contracts or commitments to issue or sell shares of Common Stock or any such options, warrants, rights or convertible securities.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4" w:right="479" w:bottom="1440" w:gutter="0" w:footer="0" w:header="0"/>
        </w:sectPr>
      </w:pPr>
    </w:p>
    <w:bookmarkStart w:id="208" w:name="page209"/>
    <w:bookmarkEnd w:id="2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Arial" w:cs="Arial" w:eastAsia="Arial" w:hAnsi="Arial"/>
          <w:sz w:val="18"/>
          <w:szCs w:val="18"/>
          <w:u w:val="single" w:color="auto"/>
          <w:color w:val="auto"/>
        </w:rPr>
        <w:t>Valid Issuance of Securities, etc.</w:t>
      </w:r>
    </w:p>
    <w:p>
      <w:pPr>
        <w:spacing w:after="0" w:line="117" w:lineRule="exact"/>
        <w:rPr>
          <w:sz w:val="20"/>
          <w:szCs w:val="20"/>
          <w:color w:val="auto"/>
        </w:rPr>
      </w:pPr>
    </w:p>
    <w:p>
      <w:pPr>
        <w:ind w:right="200" w:firstLine="991"/>
        <w:spacing w:after="0" w:line="271" w:lineRule="auto"/>
        <w:rPr>
          <w:sz w:val="20"/>
          <w:szCs w:val="20"/>
          <w:color w:val="auto"/>
        </w:rPr>
      </w:pPr>
      <w:r>
        <w:rPr>
          <w:rFonts w:ascii="Arial" w:cs="Arial" w:eastAsia="Arial" w:hAnsi="Arial"/>
          <w:sz w:val="17"/>
          <w:szCs w:val="17"/>
          <w:color w:val="auto"/>
        </w:rPr>
        <w:t xml:space="preserve">2.9.1. </w:t>
      </w:r>
      <w:r>
        <w:rPr>
          <w:rFonts w:ascii="Arial" w:cs="Arial" w:eastAsia="Arial" w:hAnsi="Arial"/>
          <w:sz w:val="17"/>
          <w:szCs w:val="17"/>
          <w:u w:val="single" w:color="auto"/>
          <w:color w:val="auto"/>
        </w:rPr>
        <w:t>Outstanding Securities</w:t>
      </w:r>
      <w:r>
        <w:rPr>
          <w:rFonts w:ascii="Arial" w:cs="Arial" w:eastAsia="Arial" w:hAnsi="Arial"/>
          <w:sz w:val="17"/>
          <w:szCs w:val="17"/>
          <w:color w:val="auto"/>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shares of Common Stock conform in all material respects to all statements relating thereto contained in the Registration Statement, the Pricing Disclosure Package and the Prospectus. The offers and sales of the outstanding shares of Common Stock were at all relevant times either registered under the Securities Act and the applicable state securities or “blue sky” laws or, based in part on the representations and warranties of the purchasers of such shares, exempt from such registration requirements.</w:t>
      </w:r>
    </w:p>
    <w:p>
      <w:pPr>
        <w:spacing w:after="0" w:line="70"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Securities Sold Pursuant to this Agreement</w:t>
      </w:r>
      <w:r>
        <w:rPr>
          <w:rFonts w:ascii="Arial" w:cs="Arial" w:eastAsia="Arial" w:hAnsi="Arial"/>
          <w:sz w:val="16"/>
          <w:szCs w:val="16"/>
          <w:color w:val="auto"/>
        </w:rPr>
        <w:t>. The Public Securities and Representative’s Securities have been duly authorized for issuance and sale and, when issued and paid for, will be validly issued, fully paid and non-assessable; the holders thereof are not and will not be subject to personal liability by reason of being such holders; the Public Securities and Representative’s Securities are not and will not be subject to the preemptive rights of any holders of any security of the Company or similar contractual rights granted by the Company, except as described in the Registration Statement, the Pricing Disclosure Package and the Prospectus ; and all corporate action required to be taken for the authorization, issuance and sale of the Public Securities and Representative’s Securities has been duly and validly taken. The Public Securities and Representative’s Securities conform in all material respects to all statements with respect thereto contained in the Registration Statement, the Pricing Disclosure Package and the Prospectus. All corporate action required to be taken for the authorization, issuance and sale of the Representative’s Warrant Agreement has been duly and validly taken; the shares of Common Stock issuable upon exercise of the Representative’s Warrant have been duly authorized and reserved for issuance by all necessary corporate action on the part of the Company and when paid for and issued in accordance with the Representative’s Warrant and the Representative’s Warrant Agreement, such shares of Common Stock will be validly issued, fully paid and non-assessable; the holders thereof are not and will not be subject to personal liability by reason of being such holders; and such shares of Common Stock are not and will not be subject to the preemptive rights of any holders of any security of the Company or similar contractual rights granted by the Company.</w:t>
      </w:r>
    </w:p>
    <w:p>
      <w:pPr>
        <w:spacing w:after="0" w:line="6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Pricing Disclosure Package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7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Validity and Binding Effect of Agreements</w:t>
      </w:r>
      <w:r>
        <w:rPr>
          <w:rFonts w:ascii="Arial" w:cs="Arial" w:eastAsia="Arial" w:hAnsi="Arial"/>
          <w:sz w:val="17"/>
          <w:szCs w:val="17"/>
          <w:color w:val="auto"/>
        </w:rPr>
        <w:t>. This Agreement and the Representative’s Warrant Agreement have been duly and validly authorized by the Company, and, when executed and delivered, will constitute, the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209" w:name="page210"/>
    <w:bookmarkEnd w:id="209"/>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Representative’s Warrant Agreement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Articles of Incorporation (as the same may be amended or restated from time to time, the “Charter”) or the by-laws of the Company; or (iii) violate any existing applicable law, rule, regulation, judgment, order or decree of any Governmental Entity as of the date hereof, except in the case of clauses (i) and (iii) for such violation that would not, individually or in the aggregate, reasonably be expected to result in a Material Adverse Change..</w:t>
      </w:r>
    </w:p>
    <w:p>
      <w:pPr>
        <w:spacing w:after="0" w:line="73"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No Defaults; Violations</w:t>
      </w:r>
      <w:r>
        <w:rPr>
          <w:rFonts w:ascii="Arial" w:cs="Arial" w:eastAsia="Arial" w:hAnsi="Arial"/>
          <w:sz w:val="16"/>
          <w:szCs w:val="16"/>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(i) not in violation of any term or provision of its Charter or by-laws, or (ii) in violation of any franchise, license, permit, applicable law, rule, regulation, judgment or decree of any Governmental Entity, except in the case of this clause (ii) for such violation that would not, individually or in the aggregate, reasonably be expected to result in a Material Adverse Change.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Corporate Power; Licenses; Consents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Except as described in the Registration Statement, the Pricing Disclosure Package and the Prospectus,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Registration Statement, the Pricing Disclosure Package and the Prospectus.</w:t>
      </w:r>
    </w:p>
    <w:p>
      <w:pPr>
        <w:spacing w:after="0" w:line="79"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Transactions Contemplated Herein</w:t>
      </w:r>
      <w:r>
        <w:rPr>
          <w:rFonts w:ascii="Arial" w:cs="Arial" w:eastAsia="Arial" w:hAnsi="Arial"/>
          <w:sz w:val="16"/>
          <w:szCs w:val="16"/>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Public Securities and the consummation of the transactions and agreements contemplated by this Agreement and the Representative’s Warrant Agreement and as contemplated by the Registration Statement, the Pricing Disclosure Package and the Prospectus, except with respect to applicable federal and state securities laws and the rules and regulations of the Financial Industry Regulatory Authority, Inc. (“FINRA”).</w:t>
      </w:r>
    </w:p>
    <w:p>
      <w:pPr>
        <w:spacing w:after="0" w:line="5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(the “Questionnaires”) completed by each of the Company’s directors and officers immediately prior to the Offering (the “Insiders”) as supplemented by all information concerning the Company’s directors, officers and principal shareholders as described in the Registration Statement, the Pricing Disclosure Package and the Prospectus, as well as in the Lock-Up Agreement (as defined in Section 2.24 below), provided to the Underwriters, is true and correct in all material respects and the Company has not become aware of any information which would cause the information disclosed in the Questionnaires to become materially inaccurate and incorrect.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4" w:right="459" w:bottom="1440" w:gutter="0" w:footer="0" w:header="0"/>
        </w:sectPr>
      </w:pPr>
    </w:p>
    <w:bookmarkStart w:id="210" w:name="page211"/>
    <w:bookmarkEnd w:id="21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Arial" w:cs="Arial" w:eastAsia="Arial" w:hAnsi="Arial"/>
          <w:sz w:val="18"/>
          <w:szCs w:val="18"/>
          <w:u w:val="single" w:color="auto"/>
          <w:color w:val="auto"/>
        </w:rPr>
        <w:t>Litigation; Governmental Proceedings</w:t>
      </w:r>
      <w:r>
        <w:rPr>
          <w:rFonts w:ascii="Arial" w:cs="Arial" w:eastAsia="Arial" w:hAnsi="Arial"/>
          <w:sz w:val="18"/>
          <w:szCs w:val="18"/>
          <w:color w:val="auto"/>
        </w:rPr>
        <w:t>. There is no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the Pricing Disclosure Package and the Prospectus or in connection with the Company’s listing application for the listing of the Public Securities on the Exchange, except where the failure to do so would not have or reasonably be expected to result in a Material Adverse Change.</w:t>
      </w:r>
    </w:p>
    <w:p>
      <w:pPr>
        <w:spacing w:after="0" w:line="8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and is validly existing as a corporation and is in good standing under the laws of the State of Delaware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spacing w:after="0" w:line="79"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carries or is entitled to the benefits of insurance, with reputable insurers, in such amounts and covering such risks which the Company believes are adequate, including, but not limited to, directors and officers insurance coverage at least equal to $5,000,000 and all such insurance is in full force and effect.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Transactions Affecting Disclosure to FINRA</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91"/>
        <w:spacing w:after="0" w:line="301" w:lineRule="auto"/>
        <w:rPr>
          <w:sz w:val="20"/>
          <w:szCs w:val="20"/>
          <w:color w:val="auto"/>
        </w:rPr>
      </w:pPr>
      <w:r>
        <w:rPr>
          <w:rFonts w:ascii="Arial" w:cs="Arial" w:eastAsia="Arial" w:hAnsi="Arial"/>
          <w:sz w:val="16"/>
          <w:szCs w:val="16"/>
          <w:color w:val="auto"/>
        </w:rPr>
        <w:t xml:space="preserve">2.19.1. </w:t>
      </w:r>
      <w:r>
        <w:rPr>
          <w:rFonts w:ascii="Arial" w:cs="Arial" w:eastAsia="Arial" w:hAnsi="Arial"/>
          <w:sz w:val="16"/>
          <w:szCs w:val="16"/>
          <w:u w:val="single" w:color="auto"/>
          <w:color w:val="auto"/>
        </w:rPr>
        <w:t>Finder’s Fees</w:t>
      </w:r>
      <w:r>
        <w:rPr>
          <w:rFonts w:ascii="Arial" w:cs="Arial" w:eastAsia="Arial" w:hAnsi="Arial"/>
          <w:sz w:val="16"/>
          <w:szCs w:val="16"/>
          <w:color w:val="auto"/>
        </w:rPr>
        <w:t>. Except as described in the Registration Statement, the Pricing Disclosure Package and the Prospectus, there are no claims, payments, arrangements, agreements or understandings relating to the payment of a finder’s, consulting or origination fee by the Company or any Insider with respect to the sale of the Public Securities hereunder or any other arrangements, agreements or understandings of the Company or, to the Company’s knowledge, any of its shareholders that may affect the Underwriters’ compensation, as determined by FINRA.</w:t>
      </w:r>
    </w:p>
    <w:p>
      <w:pPr>
        <w:spacing w:after="0" w:line="49" w:lineRule="exact"/>
        <w:rPr>
          <w:sz w:val="20"/>
          <w:szCs w:val="20"/>
          <w:color w:val="auto"/>
        </w:rPr>
      </w:pPr>
    </w:p>
    <w:p>
      <w:pPr>
        <w:jc w:val="both"/>
        <w:ind w:right="100" w:firstLine="991"/>
        <w:spacing w:after="0" w:line="293" w:lineRule="auto"/>
        <w:rPr>
          <w:sz w:val="20"/>
          <w:szCs w:val="20"/>
          <w:color w:val="auto"/>
        </w:rPr>
      </w:pPr>
      <w:r>
        <w:rPr>
          <w:rFonts w:ascii="Arial" w:cs="Arial" w:eastAsia="Arial" w:hAnsi="Arial"/>
          <w:sz w:val="16"/>
          <w:szCs w:val="16"/>
          <w:color w:val="auto"/>
        </w:rPr>
        <w:t xml:space="preserve">2.19.2. </w:t>
      </w:r>
      <w:r>
        <w:rPr>
          <w:rFonts w:ascii="Arial" w:cs="Arial" w:eastAsia="Arial" w:hAnsi="Arial"/>
          <w:sz w:val="16"/>
          <w:szCs w:val="16"/>
          <w:u w:val="single" w:color="auto"/>
          <w:color w:val="auto"/>
        </w:rPr>
        <w:t>Payments Within Twelve (12) Months</w:t>
      </w:r>
      <w:r>
        <w:rPr>
          <w:rFonts w:ascii="Arial" w:cs="Arial" w:eastAsia="Arial" w:hAnsi="Arial"/>
          <w:sz w:val="16"/>
          <w:szCs w:val="16"/>
          <w:color w:val="auto"/>
        </w:rPr>
        <w:t>. Except as described in the Registration Statement, the Pricing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(i) payments to the Representative for acting as placement agent in the Company’s equity financings during the past twelve (12) months and (ii) the payment to the Underwriters as provided hereunder in connection with the Offering.</w:t>
      </w:r>
    </w:p>
    <w:p>
      <w:pPr>
        <w:spacing w:after="0" w:line="56" w:lineRule="exact"/>
        <w:rPr>
          <w:sz w:val="20"/>
          <w:szCs w:val="20"/>
          <w:color w:val="auto"/>
        </w:rPr>
      </w:pPr>
    </w:p>
    <w:p>
      <w:pPr>
        <w:jc w:val="both"/>
        <w:ind w:right="100" w:firstLine="991"/>
        <w:spacing w:after="0" w:line="277" w:lineRule="auto"/>
        <w:rPr>
          <w:sz w:val="20"/>
          <w:szCs w:val="20"/>
          <w:color w:val="auto"/>
        </w:rPr>
      </w:pPr>
      <w:r>
        <w:rPr>
          <w:rFonts w:ascii="Arial" w:cs="Arial" w:eastAsia="Arial" w:hAnsi="Arial"/>
          <w:sz w:val="18"/>
          <w:szCs w:val="18"/>
          <w:color w:val="auto"/>
        </w:rPr>
        <w:t xml:space="preserve">2.19.3. </w:t>
      </w:r>
      <w:r>
        <w:rPr>
          <w:rFonts w:ascii="Arial" w:cs="Arial" w:eastAsia="Arial" w:hAnsi="Arial"/>
          <w:sz w:val="18"/>
          <w:szCs w:val="18"/>
          <w:u w:val="single" w:color="auto"/>
          <w:color w:val="auto"/>
        </w:rPr>
        <w:t>Use of Proceeds</w:t>
      </w:r>
      <w:r>
        <w:rPr>
          <w:rFonts w:ascii="Arial" w:cs="Arial" w:eastAsia="Arial" w:hAnsi="Arial"/>
          <w:sz w:val="18"/>
          <w:szCs w:val="18"/>
          <w:color w:val="auto"/>
        </w:rPr>
        <w:t>. None of the net proceeds of the Offering will be paid by the Company to any participating FINRA member or its affiliates, except as specifically authorized herein.</w:t>
      </w:r>
    </w:p>
    <w:p>
      <w:pPr>
        <w:spacing w:after="0" w:line="62"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 xml:space="preserve">2.19.4. </w:t>
      </w:r>
      <w:r>
        <w:rPr>
          <w:rFonts w:ascii="Arial" w:cs="Arial" w:eastAsia="Arial" w:hAnsi="Arial"/>
          <w:sz w:val="17"/>
          <w:szCs w:val="17"/>
          <w:u w:val="single" w:color="auto"/>
          <w:color w:val="auto"/>
        </w:rPr>
        <w:t>FINRA Affiliation</w:t>
      </w:r>
      <w:r>
        <w:rPr>
          <w:rFonts w:ascii="Arial" w:cs="Arial" w:eastAsia="Arial" w:hAnsi="Arial"/>
          <w:sz w:val="17"/>
          <w:szCs w:val="17"/>
          <w:color w:val="auto"/>
        </w:rPr>
        <w:t>. There is no (i) officer or director of the Company, (ii) beneficial owner of 5% or more of any class of the Company’s securities or (iii) to the Company’s knowledge, any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4" w:right="459" w:bottom="1440" w:gutter="0" w:footer="0" w:header="0"/>
        </w:sectPr>
      </w:pPr>
    </w:p>
    <w:bookmarkStart w:id="211" w:name="page212"/>
    <w:bookmarkEnd w:id="211"/>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2.19.5. </w:t>
      </w:r>
      <w:r>
        <w:rPr>
          <w:rFonts w:ascii="Arial" w:cs="Arial" w:eastAsia="Arial" w:hAnsi="Arial"/>
          <w:sz w:val="18"/>
          <w:szCs w:val="18"/>
          <w:u w:val="single" w:color="auto"/>
          <w:color w:val="auto"/>
        </w:rPr>
        <w:t>Information</w:t>
      </w:r>
      <w:r>
        <w:rPr>
          <w:rFonts w:ascii="Arial" w:cs="Arial" w:eastAsia="Arial" w:hAnsi="Arial"/>
          <w:sz w:val="18"/>
          <w:szCs w:val="18"/>
          <w:color w:val="auto"/>
        </w:rPr>
        <w:t>. To the Company’s knowledge, all information provided by the Company in its FINRA questionnaire to Representative Counsel specifically for use by Representative Counsel in connection with its Public Offering System filings (and related disclosure) with FINRA is true, correct and complete in all material respects.</w:t>
      </w:r>
    </w:p>
    <w:p>
      <w:pPr>
        <w:spacing w:after="0" w:line="76"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None of the Company and its Subsidiaries or, to the Company’s knowledge, any director, officer, agent, employee or affiliate of the Company and its Subsidiaries or any other person acting on behalf of the Company and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7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Compliance with OFAC</w:t>
      </w:r>
      <w:r>
        <w:rPr>
          <w:rFonts w:ascii="Arial" w:cs="Arial" w:eastAsia="Arial" w:hAnsi="Arial"/>
          <w:sz w:val="16"/>
          <w:szCs w:val="16"/>
          <w:color w:val="auto"/>
        </w:rPr>
        <w:t>. None of the Company and its Subsidiaries or, to the Company’s knowledge,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(“OFAC”),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5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the various jurisdictions in which the Company and its subsidiaries operate,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with respect to the Money Laundering Laws is pending or, to the best knowledge of the Company, threatened.</w:t>
      </w:r>
    </w:p>
    <w:p>
      <w:pPr>
        <w:spacing w:after="0" w:line="8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Any certificate signed by any duly authorized officer of the Company and delivered to you or to Representative Counsel shall be deemed a representation and warranty by the Company to the Underwriters as to the matters covered thereby.</w:t>
      </w:r>
    </w:p>
    <w:p>
      <w:pPr>
        <w:spacing w:after="0" w:line="3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Lock-Up Agreements. Schedule 3</w:t>
      </w:r>
      <w:r>
        <w:rPr>
          <w:rFonts w:ascii="Arial" w:cs="Arial" w:eastAsia="Arial" w:hAnsi="Arial"/>
          <w:sz w:val="18"/>
          <w:szCs w:val="18"/>
          <w:color w:val="auto"/>
        </w:rPr>
        <w:t xml:space="preserve"> hereto contains a complete and accurate list of the Company’s officers, directors and each owner of the Company’s outstanding shares of Common Stock (or securities convertible or exercisable into shares of Common Stock) (collectively, the “Lock-Up Parties”). The Company has caused each of the Lock-Up Parties to deliver to the Representative an executed Lock-Up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“Lock-Up Agreement”), prior to the execution of this Agreement.</w:t>
      </w:r>
    </w:p>
    <w:p>
      <w:pPr>
        <w:spacing w:after="0" w:line="7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Subsidiaries</w:t>
      </w:r>
      <w:r>
        <w:rPr>
          <w:rFonts w:ascii="Arial" w:cs="Arial" w:eastAsia="Arial" w:hAnsi="Arial"/>
          <w:sz w:val="18"/>
          <w:szCs w:val="18"/>
          <w:color w:val="auto"/>
        </w:rPr>
        <w:t>. All direct and indirect Subsidiaries of the Company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 The Company’s ownership and control of each Subsidiary is as described in the Registration Statement, the Pricing Disclosure Package and the Prospectus.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212" w:name="page213"/>
    <w:bookmarkEnd w:id="212"/>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2.26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 party transactions involving the Company or any other person required to be described in the Registration Statement, the Pricing Disclosure Package and the Prospectus that have not been described as required under the Securities Act.</w:t>
      </w:r>
    </w:p>
    <w:p>
      <w:pPr>
        <w:spacing w:after="0" w:line="76"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the Company is comprised of the persons set forth under the heading of the Pricing Prospectus and the Prospectus captioned “Management.” The qualifications of the persons serving as board members and the overall composition of the board comply with the Exchange Act, the Exchange Act Regulations, the Sarbanes-Oxley Act of 2002 and the rules promulgated thereunder (the “Sarbanes-Oxley Act”) applicable to the Company and the listing rules of the Exchange.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qualify as “independent,” as defined under the listing rules of the Exchange.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Sarbanes-Oxley Compliance</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2.28.1. </w:t>
      </w:r>
      <w:r>
        <w:rPr>
          <w:rFonts w:ascii="Arial" w:cs="Arial" w:eastAsia="Arial" w:hAnsi="Arial"/>
          <w:sz w:val="18"/>
          <w:szCs w:val="18"/>
          <w:u w:val="single" w:color="auto"/>
          <w:color w:val="auto"/>
        </w:rPr>
        <w:t>Disclosure Controls</w:t>
      </w:r>
      <w:r>
        <w:rPr>
          <w:rFonts w:ascii="Arial" w:cs="Arial" w:eastAsia="Arial" w:hAnsi="Arial"/>
          <w:sz w:val="18"/>
          <w:szCs w:val="18"/>
          <w:color w:val="auto"/>
        </w:rPr>
        <w:t>. The Company has developed and currently maintains disclosure controls and procedures that will comply with Rule 13a-15 or 15d-15 under the Exchange Act Regulations, and such controls and procedures have been designed to provide reasonable assurance that all material information concerning the Company will be made known on a timely basis to the individuals responsible for the preparation of the Company’s Exchange Act filings and other public disclosure documents.</w:t>
      </w:r>
    </w:p>
    <w:p>
      <w:pPr>
        <w:spacing w:after="0" w:line="7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2.28.2. </w:t>
      </w:r>
      <w:r>
        <w:rPr>
          <w:rFonts w:ascii="Arial" w:cs="Arial" w:eastAsia="Arial" w:hAnsi="Arial"/>
          <w:sz w:val="18"/>
          <w:szCs w:val="18"/>
          <w:u w:val="single" w:color="auto"/>
          <w:color w:val="auto"/>
        </w:rPr>
        <w:t>Compliance</w:t>
      </w:r>
      <w:r>
        <w:rPr>
          <w:rFonts w:ascii="Arial" w:cs="Arial" w:eastAsia="Arial" w:hAnsi="Arial"/>
          <w:sz w:val="18"/>
          <w:szCs w:val="18"/>
          <w:color w:val="auto"/>
        </w:rPr>
        <w:t>. The Company is, or at the Applicable Time and on the Closing Date will be, in material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spacing w:after="0" w:line="79" w:lineRule="exact"/>
        <w:rPr>
          <w:sz w:val="20"/>
          <w:szCs w:val="20"/>
          <w:color w:val="auto"/>
        </w:rPr>
      </w:pPr>
    </w:p>
    <w:p>
      <w:pPr>
        <w:ind w:right="100" w:firstLine="440"/>
        <w:spacing w:after="0" w:line="268" w:lineRule="auto"/>
        <w:rPr>
          <w:sz w:val="20"/>
          <w:szCs w:val="20"/>
          <w:color w:val="auto"/>
        </w:rPr>
      </w:pPr>
      <w:r>
        <w:rPr>
          <w:rFonts w:ascii="Arial" w:cs="Arial" w:eastAsia="Arial" w:hAnsi="Arial"/>
          <w:sz w:val="17"/>
          <w:szCs w:val="17"/>
          <w:color w:val="auto"/>
        </w:rPr>
        <w:t xml:space="preserve">2.29 </w:t>
      </w:r>
      <w:r>
        <w:rPr>
          <w:rFonts w:ascii="Arial" w:cs="Arial" w:eastAsia="Arial" w:hAnsi="Arial"/>
          <w:sz w:val="17"/>
          <w:szCs w:val="17"/>
          <w:u w:val="single" w:color="auto"/>
          <w:color w:val="auto"/>
        </w:rPr>
        <w:t>Accounting Controls</w:t>
      </w:r>
      <w:r>
        <w:rPr>
          <w:rFonts w:ascii="Arial" w:cs="Arial" w:eastAsia="Arial" w:hAnsi="Arial"/>
          <w:sz w:val="17"/>
          <w:szCs w:val="17"/>
          <w:color w:val="auto"/>
        </w:rPr>
        <w:t>. The Company and its Subsidiaries maintain systems of “internal control over financial reporting” (as defined under Rules 13a-15 and 15d-15 under the Exchange Act Regulations)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40" w:top="274" w:right="459" w:bottom="1440" w:gutter="0" w:footer="0" w:header="0"/>
        </w:sectPr>
      </w:pPr>
    </w:p>
    <w:bookmarkStart w:id="213" w:name="page214"/>
    <w:bookmarkEnd w:id="213"/>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2.30 </w:t>
      </w:r>
      <w:r>
        <w:rPr>
          <w:rFonts w:ascii="Arial" w:cs="Arial" w:eastAsia="Arial" w:hAnsi="Arial"/>
          <w:sz w:val="18"/>
          <w:szCs w:val="18"/>
          <w:u w:val="single" w:color="auto"/>
          <w:color w:val="auto"/>
        </w:rPr>
        <w:t>No Investment Company Status</w:t>
      </w:r>
      <w:r>
        <w:rPr>
          <w:rFonts w:ascii="Arial" w:cs="Arial" w:eastAsia="Arial" w:hAnsi="Arial"/>
          <w:sz w:val="18"/>
          <w:szCs w:val="18"/>
          <w:color w:val="auto"/>
        </w:rPr>
        <w:t>. The Company is not and, after giving effect to the Offering and the application of the proceeds thereof as described in the Registration Statement, the Pricing Disclosure Package and the Prospectus, will not be, required to register as an “investment company,” as defined in the Investment Company Act of 1940, as amended.</w:t>
      </w:r>
    </w:p>
    <w:p>
      <w:pPr>
        <w:spacing w:after="0" w:line="76"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No Labor Disputes</w:t>
      </w:r>
      <w:r>
        <w:rPr>
          <w:rFonts w:ascii="Arial" w:cs="Arial" w:eastAsia="Arial" w:hAnsi="Arial"/>
          <w:sz w:val="18"/>
          <w:szCs w:val="18"/>
          <w:color w:val="auto"/>
        </w:rPr>
        <w:t>. No labor dispute with the employees of the Company or any of its Subsidiaries exists or, to the knowledge of the Company, is imminent.</w:t>
      </w:r>
    </w:p>
    <w:p>
      <w:pPr>
        <w:spacing w:after="0" w:line="62"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each of its Subsidiaries owns or possesses or has valid rights to use all patents, patent applications, trademarks, service marks, trade names, trademark registrations, service mark registrations, copyrights, licenses, inventions, trade secrets and similar rights (“Intellectual Property Rights”) necessary for the conduct of the business of the Company and its Subsidiaries as currently carried on and as described in the Registration Statement, the Pricing Disclosure Package and the Prospectus. To the knowledge of the Company,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w:t>
      </w:r>
    </w:p>
    <w:p>
      <w:pPr>
        <w:spacing w:after="0" w:line="6" w:lineRule="exact"/>
        <w:rPr>
          <w:sz w:val="20"/>
          <w:szCs w:val="20"/>
          <w:color w:val="auto"/>
        </w:rPr>
      </w:pPr>
    </w:p>
    <w:p>
      <w:pPr>
        <w:ind w:left="4" w:right="20" w:hanging="4"/>
        <w:spacing w:after="0" w:line="284" w:lineRule="auto"/>
        <w:tabs>
          <w:tab w:leader="none" w:pos="2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there is no pending or, to the knowledge of the Company,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2.34, reasonably be expected to result in a Material Adverse Change;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Section 2.34, reasonably be expected to result in a Material Adverse Change; (D) there is no pending or, to the Company’s knowledge,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Section 2.34, reasonably be expected to result in a Material Adverse Change; and (E) to the Company’s knowledge,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Registration Statement, the Pricing Disclosure Package and the Prospectus and are</w:t>
      </w:r>
    </w:p>
    <w:p>
      <w:pPr>
        <w:spacing w:after="0" w:line="101" w:lineRule="exact"/>
        <w:rPr>
          <w:rFonts w:ascii="Arial" w:cs="Arial" w:eastAsia="Arial" w:hAnsi="Arial"/>
          <w:sz w:val="16"/>
          <w:szCs w:val="16"/>
          <w:color w:val="auto"/>
        </w:rPr>
      </w:pPr>
    </w:p>
    <w:p>
      <w:pPr>
        <w:ind w:left="5424" w:hanging="111"/>
        <w:spacing w:after="0"/>
        <w:tabs>
          <w:tab w:leader="none" w:pos="5424" w:val="left"/>
        </w:tabs>
        <w:numPr>
          <w:ilvl w:val="1"/>
          <w:numId w:val="8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4"/>
          </w:cols>
          <w:pgMar w:left="436" w:top="274" w:right="439" w:bottom="1440" w:gutter="0" w:footer="0" w:header="0"/>
        </w:sectPr>
      </w:pPr>
    </w:p>
    <w:bookmarkStart w:id="214" w:name="page215"/>
    <w:bookmarkEnd w:id="21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described therein. The Registration Statement, the Pricing Disclosure Package and the Prospectus contain in all material respects the same description of the matters set forth in the preceding sentence. None of the technology employed by the Company has been obtained or is being used by the Company in violation of any contractual obligation binding on the Company or, to the Company’s knowledge, any of its officers, directors or employees, or otherwise in violation of the rights of any persons..</w:t>
      </w:r>
    </w:p>
    <w:p>
      <w:pPr>
        <w:spacing w:after="0" w:line="7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Taxes</w:t>
      </w:r>
      <w:r>
        <w:rPr>
          <w:rFonts w:ascii="Arial" w:cs="Arial" w:eastAsia="Arial" w:hAnsi="Arial"/>
          <w:sz w:val="16"/>
          <w:szCs w:val="16"/>
          <w:color w:val="auto"/>
        </w:rPr>
        <w:t>. Each of the Company and its Subsidiaries has filed all returns (as hereinafter defined) required to be filed with taxing authorities prior to the date hereof or has duly obtained extensions of time for the filing thereof. Each of the Company and its Subsidiaries has paid all taxes (as hereinafter defined) shown as due on such returns that were filed and has paid all taxes imposed on or assessed against the Company or such respective Subsidiary.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“taxes”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spacing w:after="0" w:line="6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ERISA Compliance</w:t>
      </w:r>
      <w:r>
        <w:rPr>
          <w:rFonts w:ascii="Arial" w:cs="Arial" w:eastAsia="Arial" w:hAnsi="Arial"/>
          <w:sz w:val="16"/>
          <w:szCs w:val="16"/>
          <w:color w:val="auto"/>
        </w:rPr>
        <w:t>. The Company and any “employee benefit plan” (as defined under the Employee Retirement Income Security Act of 1974, as amended, and the regulations and published interpretations thereunder (collectively, “ERISA”)) established or maintained by the Company or its “ERISA Affiliates” (as defined below) are in compliance in all material respects with ERISA. “ERISA Affiliate” means, with respect to the Company, any member of any group of organizations described in Sections 414(b),(c),(m) or (o) of the Internal Revenue Code of 1986, as amended, and the regulations and published interpretations thereunder (the “Code”)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to the knowledge of the Company, nothing has occurred, whether by action or failure to act, which would cause the loss of such qualification.</w:t>
      </w:r>
    </w:p>
    <w:p>
      <w:pPr>
        <w:spacing w:after="0" w:line="6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(“Applicable Laws”), except as would not, individually or in the aggregate, reasonably be expected to have a Material Adverse Change; (B) has not received any warning letter, untitled letter or other correspondence or notice from any other governmental authority alleging or asserting noncompliance with any Applicable Laws or any licenses, certificates, approvals, clearances, authorizations, permits and supplements or amendments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80"/>
          </w:cols>
          <w:pgMar w:left="440" w:top="274" w:right="479" w:bottom="1440" w:gutter="0" w:footer="0" w:header="0"/>
        </w:sectPr>
      </w:pPr>
    </w:p>
    <w:bookmarkStart w:id="215" w:name="page216"/>
    <w:bookmarkEnd w:id="21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thereto required by any such Applicable Laws (“Authorizations”);(C)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u w:val="single" w:color="auto"/>
          <w:color w:val="auto"/>
        </w:rPr>
        <w:t>Ineligible Issuer</w:t>
      </w:r>
      <w:r>
        <w:rPr>
          <w:rFonts w:ascii="Arial" w:cs="Arial" w:eastAsia="Arial" w:hAnsi="Arial"/>
          <w:sz w:val="18"/>
          <w:szCs w:val="18"/>
          <w:color w:val="auto"/>
        </w:rPr>
        <w:t>. At the time of filing the Registration Statement and any post-effective amendment thereto, at the time of effectiveness of the Registration Statement and any amendment thereto, at the earliest time thereafter that the Company or another offering participant made a bona fide offer (within the meaning of Rule 164(h)(2) of the Securities Act Regulations) of the Public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8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2.37 </w:t>
      </w:r>
      <w:r>
        <w:rPr>
          <w:rFonts w:ascii="Arial" w:cs="Arial" w:eastAsia="Arial" w:hAnsi="Arial"/>
          <w:sz w:val="17"/>
          <w:szCs w:val="17"/>
          <w:u w:val="single" w:color="auto"/>
          <w:color w:val="auto"/>
        </w:rPr>
        <w:t>Real Property</w:t>
      </w:r>
      <w:r>
        <w:rPr>
          <w:rFonts w:ascii="Arial" w:cs="Arial" w:eastAsia="Arial" w:hAnsi="Arial"/>
          <w:sz w:val="17"/>
          <w:szCs w:val="17"/>
          <w:color w:val="auto"/>
        </w:rPr>
        <w:t>. Except as set forth in the Registration Statement, the Pricing Disclosure Package and the Prospectus, the Company and its 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and do not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2.38 </w:t>
      </w:r>
      <w:r>
        <w:rPr>
          <w:rFonts w:ascii="Arial" w:cs="Arial" w:eastAsia="Arial" w:hAnsi="Arial"/>
          <w:sz w:val="17"/>
          <w:szCs w:val="17"/>
          <w:u w:val="single" w:color="auto"/>
          <w:color w:val="auto"/>
        </w:rPr>
        <w:t>Contracts Affecting Capital</w:t>
      </w:r>
      <w:r>
        <w:rPr>
          <w:rFonts w:ascii="Arial" w:cs="Arial" w:eastAsia="Arial" w:hAnsi="Arial"/>
          <w:sz w:val="17"/>
          <w:szCs w:val="17"/>
          <w:color w:val="auto"/>
        </w:rPr>
        <w:t>. There are no transactions, arrangements or other relationships between and/or among the Company, any of its affiliates (as such term is defined in Rule 405 of the Securities Act Regulations)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under the Securities Act to be described in the Registration Statement, the Pricing Disclosure Package and the Prospectus which have not been described as required.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80"/>
          </w:cols>
          <w:pgMar w:left="440" w:top="274" w:right="479" w:bottom="1440" w:gutter="0" w:footer="0" w:header="0"/>
        </w:sectPr>
      </w:pPr>
    </w:p>
    <w:bookmarkStart w:id="216" w:name="page217"/>
    <w:bookmarkEnd w:id="216"/>
    <w:p>
      <w:pPr>
        <w:ind w:left="4"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2.39 </w:t>
      </w:r>
      <w:r>
        <w:rPr>
          <w:rFonts w:ascii="Arial" w:cs="Arial" w:eastAsia="Arial" w:hAnsi="Arial"/>
          <w:sz w:val="18"/>
          <w:szCs w:val="18"/>
          <w:u w:val="single" w:color="auto"/>
          <w:color w:val="auto"/>
        </w:rPr>
        <w:t>Loans to Directors or Officers</w:t>
      </w:r>
      <w:r>
        <w:rPr>
          <w:rFonts w:ascii="Arial" w:cs="Arial" w:eastAsia="Arial" w:hAnsi="Arial"/>
          <w:sz w:val="18"/>
          <w:szCs w:val="18"/>
          <w:color w:val="auto"/>
        </w:rPr>
        <w:t>.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spacing w:after="0" w:line="79"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u w:val="single" w:color="auto"/>
          <w:color w:val="auto"/>
        </w:rPr>
        <w:t>Smaller Reporting Company</w:t>
      </w:r>
      <w:r>
        <w:rPr>
          <w:rFonts w:ascii="Arial" w:cs="Arial" w:eastAsia="Arial" w:hAnsi="Arial"/>
          <w:sz w:val="18"/>
          <w:szCs w:val="18"/>
          <w:color w:val="auto"/>
        </w:rPr>
        <w:t>. As of the time of filing of the Registration Statement, the Company was a “smaller reporting company,” as defined in Rule 12b-2 of the Exchange Act Regulations.</w:t>
      </w:r>
    </w:p>
    <w:p>
      <w:pPr>
        <w:spacing w:after="0" w:line="62"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Industry Data</w:t>
      </w:r>
      <w:r>
        <w:rPr>
          <w:rFonts w:ascii="Arial" w:cs="Arial" w:eastAsia="Arial" w:hAnsi="Arial"/>
          <w:sz w:val="18"/>
          <w:szCs w:val="18"/>
          <w:color w:val="auto"/>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the time of the initial confidential submission of the Registration Statement to the Commission (or, if earlier, the first date on which the Company engaged directly in or through any Person authorized to act on its behalf in any Testing-the Waters Communication) through the date hereof, the Company has been and is an “emerging growth company,” as defined in Section 2(a) of the Securities Act (an “Emerging Growth Company”). “Testing-the-Waters Communication” means any oral or written communication with potential investors undertaken in reliance on Section 5(d) of the Securities Act.</w:t>
      </w:r>
    </w:p>
    <w:p>
      <w:pPr>
        <w:spacing w:after="0" w:line="80"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Testing-the-Waters Communications</w:t>
      </w:r>
      <w:r>
        <w:rPr>
          <w:rFonts w:ascii="Arial" w:cs="Arial" w:eastAsia="Arial" w:hAnsi="Arial"/>
          <w:sz w:val="16"/>
          <w:szCs w:val="16"/>
          <w:color w:val="auto"/>
        </w:rPr>
        <w:t>. The Company has not (i) alone engaged in any Testing-the-Waters Communications, other than Testing-the-Waters Communications with the written consent of the Representative and with entities that are qualified institutional buyers within the meaning of Rule 144A under the Securities Act or institutions that are accredited investors within the meaning of Rule 501 under the Securities Act and</w:t>
      </w:r>
    </w:p>
    <w:p>
      <w:pPr>
        <w:spacing w:after="0" w:line="2" w:lineRule="exact"/>
        <w:rPr>
          <w:sz w:val="20"/>
          <w:szCs w:val="20"/>
          <w:color w:val="auto"/>
        </w:rPr>
      </w:pPr>
    </w:p>
    <w:p>
      <w:pPr>
        <w:ind w:left="4" w:right="140" w:hanging="4"/>
        <w:spacing w:after="0" w:line="273" w:lineRule="auto"/>
        <w:tabs>
          <w:tab w:leader="none" w:pos="26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authorized anyone other than the Representative to engage in Testing-the-Waters Communications. The Company confirms that the Representative has been authorized to act on its behalf in undertaking Testing-the-Waters Communications. The Company has not distributed any Written Testing-the-Waters Communications other than those listed on </w:t>
      </w:r>
      <w:r>
        <w:rPr>
          <w:rFonts w:ascii="Arial" w:cs="Arial" w:eastAsia="Arial" w:hAnsi="Arial"/>
          <w:sz w:val="17"/>
          <w:szCs w:val="17"/>
          <w:u w:val="single" w:color="auto"/>
          <w:color w:val="auto"/>
        </w:rPr>
        <w:t>Schedule 2-C</w:t>
      </w:r>
      <w:r>
        <w:rPr>
          <w:rFonts w:ascii="Arial" w:cs="Arial" w:eastAsia="Arial" w:hAnsi="Arial"/>
          <w:sz w:val="17"/>
          <w:szCs w:val="17"/>
          <w:color w:val="auto"/>
        </w:rPr>
        <w:t xml:space="preserve"> hereto. “Written Testing-the-Waters Communication” means any Testing-the-Waters Communication that is a written communication within the meaning of Rule 405 under the Securities Act.</w:t>
      </w:r>
    </w:p>
    <w:p>
      <w:pPr>
        <w:spacing w:after="0" w:line="68"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u w:val="single" w:color="auto"/>
          <w:color w:val="auto"/>
        </w:rPr>
        <w:t>Electronic Road Show</w:t>
      </w:r>
      <w:r>
        <w:rPr>
          <w:rFonts w:ascii="Arial" w:cs="Arial" w:eastAsia="Arial" w:hAnsi="Arial"/>
          <w:sz w:val="18"/>
          <w:szCs w:val="18"/>
          <w:color w:val="auto"/>
        </w:rPr>
        <w:t>. The Company has made available a Bona Fide Electronic Road Show in compliance with Rule 433(d)(8)(ii) of the Securities Act Regulations such that no filing of any “road show” (as defined in Rule 433(h) of the Securities Act Regulations) is required in connection with the Offering.</w:t>
      </w:r>
    </w:p>
    <w:p>
      <w:pPr>
        <w:spacing w:after="0" w:line="76"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u w:val="single" w:color="auto"/>
          <w:color w:val="auto"/>
        </w:rPr>
        <w:t>Margin Securities</w:t>
      </w:r>
      <w:r>
        <w:rPr>
          <w:rFonts w:ascii="Arial" w:cs="Arial" w:eastAsia="Arial" w:hAnsi="Arial"/>
          <w:sz w:val="18"/>
          <w:szCs w:val="18"/>
          <w:color w:val="auto"/>
        </w:rPr>
        <w:t>. The Company owns no “margin securities” as that term is defined in Regulation U of the Board of Governors of the Federal Reserve System (the “Federal Reserve Board”),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“purpose credit” within the meanings of Regulation T, U or X of the Federal Reserve Board.</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117"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shall deliver to the Representative, prior to filing, any amendment or supplement to the Registration Statement or Prospectus proposed to be filed after the Effective Date and not file any such amendment or supplement to which the Representative shall reasonably object in writing.</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84"/>
          </w:cols>
          <w:pgMar w:left="436" w:top="274" w:right="479" w:bottom="1440" w:gutter="0" w:footer="0" w:header="0"/>
        </w:sectPr>
      </w:pPr>
    </w:p>
    <w:bookmarkStart w:id="217" w:name="page218"/>
    <w:bookmarkEnd w:id="21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117"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Compliance</w:t>
      </w:r>
      <w:r>
        <w:rPr>
          <w:rFonts w:ascii="Arial" w:cs="Arial" w:eastAsia="Arial" w:hAnsi="Arial"/>
          <w:sz w:val="16"/>
          <w:szCs w:val="16"/>
          <w:color w:val="auto"/>
        </w:rPr>
        <w:t>. The Company, subject to Section 3.2.2, shall comply with the requirements of Rule 430A of the Securities Act Regulations, and will notify the Representative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and Representative’s Securities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and Representative’s Securities. The Company shall effect all filings required under Rule 424(b) of the Securities Act Regulations, in the manner and within the time period required by Rule 424(b) (without reliance on Rule 424(b)(8)),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best efforts to prevent the issuance of any stop order, prevention or suspension and, if any such order is issued, to obtain the lifting thereof at the earliest possible moment.</w:t>
      </w:r>
    </w:p>
    <w:p>
      <w:pPr>
        <w:spacing w:after="0" w:line="63"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Continued Compliance</w:t>
      </w:r>
      <w:r>
        <w:rPr>
          <w:rFonts w:ascii="Arial" w:cs="Arial" w:eastAsia="Arial" w:hAnsi="Arial"/>
          <w:sz w:val="16"/>
          <w:szCs w:val="16"/>
          <w:color w:val="auto"/>
        </w:rPr>
        <w:t>. The Company shall comply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(“Rule 172”), would be) required by the Securities Act to be delivered in connection with sales of the Public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2" w:lineRule="exact"/>
        <w:rPr>
          <w:sz w:val="20"/>
          <w:szCs w:val="20"/>
          <w:color w:val="auto"/>
        </w:rPr>
      </w:pPr>
    </w:p>
    <w:p>
      <w:pPr>
        <w:ind w:left="4" w:hanging="4"/>
        <w:spacing w:after="0" w:line="284" w:lineRule="auto"/>
        <w:tabs>
          <w:tab w:leader="none" w:pos="269" w:val="left"/>
        </w:tabs>
        <w:numPr>
          <w:ilvl w:val="0"/>
          <w:numId w:val="91"/>
        </w:numPr>
        <w:rPr>
          <w:rFonts w:ascii="Arial" w:cs="Arial" w:eastAsia="Arial" w:hAnsi="Arial"/>
          <w:sz w:val="16"/>
          <w:szCs w:val="16"/>
          <w:color w:val="auto"/>
        </w:rPr>
      </w:pPr>
      <w:r>
        <w:rPr>
          <w:rFonts w:ascii="Arial" w:cs="Arial" w:eastAsia="Arial" w:hAnsi="Arial"/>
          <w:sz w:val="16"/>
          <w:szCs w:val="16"/>
          <w:color w:val="auto"/>
        </w:rPr>
        <w:t>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reasonably object. The Company will furnish to the Underwriters such number of copies of such amendment or supplement as the Underwriters may reasonably request. The Company has given the Representative notice of any filings made pursuant to the Exchange Act or the Exchange Act Regulations within 48 hours prior to the Applicable Time. The Company shall give the Representative notice of its intention to make any such filing from the Applicable Time until the later of the Closing Date and the exercise in full or expiration of the Over-allotment Option specified in Section 1.2 hereof and will furnish the Representative with copies of the related document(s) a reasonable amount of time prior to such proposed filing, as the case may be, and will not file or use any such document to which the Representative or counsel for the Underwriters shall reasonably object.</w:t>
      </w:r>
    </w:p>
    <w:p>
      <w:pPr>
        <w:spacing w:after="0" w:line="108" w:lineRule="exact"/>
        <w:rPr>
          <w:rFonts w:ascii="Arial" w:cs="Arial" w:eastAsia="Arial" w:hAnsi="Arial"/>
          <w:sz w:val="16"/>
          <w:szCs w:val="16"/>
          <w:color w:val="auto"/>
        </w:rPr>
      </w:pPr>
    </w:p>
    <w:p>
      <w:pPr>
        <w:ind w:left="5424" w:hanging="111"/>
        <w:spacing w:after="0"/>
        <w:tabs>
          <w:tab w:leader="none" w:pos="5424" w:val="left"/>
        </w:tabs>
        <w:numPr>
          <w:ilvl w:val="1"/>
          <w:numId w:val="91"/>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64"/>
          </w:cols>
          <w:pgMar w:left="436" w:top="274" w:right="499" w:bottom="1440" w:gutter="0" w:footer="0" w:header="0"/>
        </w:sectPr>
      </w:pPr>
    </w:p>
    <w:bookmarkStart w:id="218" w:name="page219"/>
    <w:bookmarkEnd w:id="218"/>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3.2.3. </w:t>
      </w:r>
      <w:r>
        <w:rPr>
          <w:rFonts w:ascii="Arial" w:cs="Arial" w:eastAsia="Arial" w:hAnsi="Arial"/>
          <w:sz w:val="16"/>
          <w:szCs w:val="16"/>
          <w:u w:val="single" w:color="auto"/>
          <w:color w:val="auto"/>
        </w:rPr>
        <w:t>Exchange Act Registration</w:t>
      </w:r>
      <w:r>
        <w:rPr>
          <w:rFonts w:ascii="Arial" w:cs="Arial" w:eastAsia="Arial" w:hAnsi="Arial"/>
          <w:sz w:val="16"/>
          <w:szCs w:val="16"/>
          <w:color w:val="auto"/>
        </w:rPr>
        <w:t>. For a period of three (3) years after the date of this Agreement, the Company shall use its best efforts to</w:t>
      </w:r>
    </w:p>
    <w:p>
      <w:pPr>
        <w:spacing w:after="0" w:line="46" w:lineRule="exact"/>
        <w:rPr>
          <w:sz w:val="20"/>
          <w:szCs w:val="20"/>
          <w:color w:val="auto"/>
        </w:rPr>
      </w:pPr>
    </w:p>
    <w:p>
      <w:pPr>
        <w:ind w:left="4" w:right="500" w:hanging="4"/>
        <w:spacing w:after="0" w:line="260" w:lineRule="auto"/>
        <w:tabs>
          <w:tab w:leader="none" w:pos="2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maintain the registration of the shares of Common Stock under the Exchange Act and (ii) not deregister the shares of Common Stock under the Exchange Act without the prior written consent of the Representative not to be unreasonably withheld</w:t>
      </w:r>
    </w:p>
    <w:p>
      <w:pPr>
        <w:spacing w:after="0" w:line="77"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The Company agrees that, unless it obtains the prior written consent of the Representative,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shall be deemed to have consented to each Issuer General Use Free Writing Prospectus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78" w:lineRule="exact"/>
        <w:rPr>
          <w:sz w:val="20"/>
          <w:szCs w:val="20"/>
          <w:color w:val="auto"/>
        </w:rPr>
      </w:pPr>
    </w:p>
    <w:p>
      <w:pPr>
        <w:ind w:left="4" w:right="140" w:firstLine="991"/>
        <w:spacing w:after="0" w:line="296"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Testing-the-Waters Communications</w:t>
      </w:r>
      <w:r>
        <w:rPr>
          <w:rFonts w:ascii="Arial" w:cs="Arial" w:eastAsia="Arial" w:hAnsi="Arial"/>
          <w:sz w:val="16"/>
          <w:szCs w:val="16"/>
          <w:color w:val="auto"/>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Representative and shall promptly amend or supplement, at its own expense, such Written Testing-the-Waters Communication to eliminate or correct such untrue statement or omission.</w:t>
      </w:r>
    </w:p>
    <w:p>
      <w:pPr>
        <w:spacing w:after="0" w:line="53" w:lineRule="exact"/>
        <w:rPr>
          <w:sz w:val="20"/>
          <w:szCs w:val="20"/>
          <w:color w:val="auto"/>
        </w:rPr>
      </w:pPr>
    </w:p>
    <w:p>
      <w:pPr>
        <w:ind w:left="4" w:right="200" w:firstLine="440"/>
        <w:spacing w:after="0" w:line="29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Delivery to the Underwriters of Registration Statements</w:t>
      </w:r>
      <w:r>
        <w:rPr>
          <w:rFonts w:ascii="Arial" w:cs="Arial" w:eastAsia="Arial" w:hAnsi="Arial"/>
          <w:sz w:val="16"/>
          <w:szCs w:val="16"/>
          <w:color w:val="auto"/>
        </w:rPr>
        <w:t>. The Company has delivered or made available or shall deliver or make available to the Representative and counsel for the Representative, without charge, signed copies of the Registration Statement as originally filed and each amendment thereto (including exhibits filed therewith) and signed copies of all consents and certificates of experts, and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004"/>
          </w:cols>
          <w:pgMar w:left="436" w:top="274" w:right="459" w:bottom="1440" w:gutter="0" w:footer="0" w:header="0"/>
        </w:sectPr>
      </w:pPr>
    </w:p>
    <w:bookmarkStart w:id="219" w:name="page220"/>
    <w:bookmarkEnd w:id="219"/>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Arial" w:cs="Arial" w:eastAsia="Arial" w:hAnsi="Arial"/>
          <w:sz w:val="17"/>
          <w:szCs w:val="17"/>
          <w:u w:val="single" w:color="auto"/>
          <w:color w:val="auto"/>
        </w:rPr>
        <w:t>Delivery to the Underwriters of Prospectuses</w:t>
      </w:r>
      <w:r>
        <w:rPr>
          <w:rFonts w:ascii="Arial" w:cs="Arial" w:eastAsia="Arial" w:hAnsi="Arial"/>
          <w:sz w:val="17"/>
          <w:szCs w:val="17"/>
          <w:color w:val="auto"/>
        </w:rPr>
        <w:t>. The Company has delivered or made available or will deliver or make available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Public Securities is (or, but for the exception afforded by Rule 172,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6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shall use commercially reasonable efforts to cause the Registration Statement to remain effective with a current prospectus for at least nine (9) months after the Applicable Time, and shall notify the Representative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3.5 that, in the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shall make every reasonable effort to obtain promptly the lifting of such order.</w:t>
      </w:r>
    </w:p>
    <w:p>
      <w:pPr>
        <w:spacing w:after="0" w:line="7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xml:space="preserve"> For a period of three (3) years after the date of this Agreement, the Company, at its expense, shall cause its regularly engaged independent registered public accounting firm to review (but not audit) the Company’s financial statements for each of the three fiscal quarters immediately preceding the announcement of any quarterly financial information.</w:t>
      </w:r>
    </w:p>
    <w:p>
      <w:pPr>
        <w:spacing w:after="0" w:line="7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maintain the listing of the shares of Common Stock (including the Public Securities) on the Exchange for at least two years from the date of this Agreement.</w:t>
      </w:r>
    </w:p>
    <w:p>
      <w:pPr>
        <w:spacing w:after="0" w:line="6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As of the Effective Date, the Company shall have retained a financial public relations firm reasonably acceptable to the Representative and the Company, which shall initially be [PUBLIC RELATIONS FIRM], which firm shall be experienced in assisting issuers in initial public offerings of securities and in their relations with their security holders, and shall retain such firm or another firm reasonably acceptable to the Representative for a period of not less than one (1) year after the Effective Date.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Reports to the Representative</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3.9.1. </w:t>
      </w:r>
      <w:r>
        <w:rPr>
          <w:rFonts w:ascii="Arial" w:cs="Arial" w:eastAsia="Arial" w:hAnsi="Arial"/>
          <w:sz w:val="17"/>
          <w:szCs w:val="17"/>
          <w:u w:val="single" w:color="auto"/>
          <w:color w:val="auto"/>
        </w:rPr>
        <w:t>Periodic Reports, etc</w:t>
      </w:r>
      <w:r>
        <w:rPr>
          <w:rFonts w:ascii="Arial" w:cs="Arial" w:eastAsia="Arial" w:hAnsi="Arial"/>
          <w:sz w:val="17"/>
          <w:szCs w:val="17"/>
          <w:color w:val="auto"/>
        </w:rPr>
        <w:t>. For a period of three (3) years after the date of this Agreement, the Company shall furnish or make available to the Representative copies of such financial statements and other periodic and special reports as the Company from time to time furnishes generally to holders of any class of its securities and also promptly furnish to the Representative: (i) a copy of each periodic report the Company shall be required to file with the Commission under the Exchange Act and the Exchange Act Regulations; (iii) a copy of each Form 8-K prepared and filed by the Company; and (iv) such additional documents and information with respect to the Company and the affairs of any future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220" w:name="page221"/>
    <w:bookmarkEnd w:id="2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of the Company as the Representative may from time to time reasonably request; provided the Representative shall sign, if requested by the Company, a Regulation FD compliant confidentiality agreement which is reasonably acceptable to the Representative and Representative Counsel in connection with the Representative’s receipt of such information. Documents filed with the Commission pursuant to its EDGAR system shall be deemed to have been delivered to the Representative pursuant to this Section 3.9.1.</w:t>
      </w:r>
    </w:p>
    <w:p>
      <w:pPr>
        <w:spacing w:after="0" w:line="187"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 xml:space="preserve">3.9.2. </w:t>
      </w:r>
      <w:r>
        <w:rPr>
          <w:rFonts w:ascii="Arial" w:cs="Arial" w:eastAsia="Arial" w:hAnsi="Arial"/>
          <w:sz w:val="17"/>
          <w:szCs w:val="17"/>
          <w:u w:val="single" w:color="auto"/>
          <w:color w:val="auto"/>
        </w:rPr>
        <w:t>Transfer Agent</w:t>
      </w:r>
      <w:r>
        <w:rPr>
          <w:rFonts w:ascii="Arial" w:cs="Arial" w:eastAsia="Arial" w:hAnsi="Arial"/>
          <w:sz w:val="17"/>
          <w:szCs w:val="17"/>
          <w:color w:val="auto"/>
        </w:rPr>
        <w:t>. For a period of three (3) years after the date of this Agreement, to the extent the Company’s Common Stock is publicly traded on a national securities exchange, the Company shall retain a transfer agent and registrar acceptable to the Representative (the “Transfer Agent”). [TRANSFER AGENT] is acceptable to the Representative to act as Transfer Agent for the shares of Common Stock.</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Payment of Expenses</w:t>
      </w:r>
    </w:p>
    <w:p>
      <w:pPr>
        <w:spacing w:after="0" w:line="117"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u w:val="single" w:color="auto"/>
          <w:color w:val="auto"/>
        </w:rPr>
        <w:t>General Expenses Related to the Offering</w:t>
      </w:r>
      <w:r>
        <w:rPr>
          <w:rFonts w:ascii="Arial" w:cs="Arial" w:eastAsia="Arial" w:hAnsi="Arial"/>
          <w:sz w:val="16"/>
          <w:szCs w:val="16"/>
          <w:color w:val="auto"/>
        </w:rPr>
        <w:t>. The Company hereby agrees to pay on each of the Closing Date and the Option Closing Date, if any, to the extent not paid at the Closing Date, all expenses incident to the performance of the obligations of the Company under this Agreement, including, but not limited to: (a) all filing fees and communication expenses relating to the registration of the shares of Common Stock to be sold in the Offering (including the Over-allotment Shares) with the Commission; (b) all Public Filing System filing fees associated with the review of the Offering by FINRA; (c) all fees and expenses relating to the listing of such Public Securities on the Exchange and such other stock exchanges as the Company and the Representative together determine; (d) all fees, expenses and disbursements relating to background checks of the Company’s officers and directors in an amount not to exceed $5,000 per individual and $15,000 in the aggregate; (e) all fees, expenses and disbursements relating to the registration or qualification of the Public Securities under the “blue sky” securities laws of such states and other jurisdictions as the Representative may reasonably designate (including, without limitation, all filing and registration fees, it being agreed that if the Offering is commenced on the Exchange, the Company shall make a payment of $5,000 to such counsel at Closing, or if the Offering is commenced on the Over-the-Counter Bulletin Board, the Company shall make a payment of $15,000 to such counsel upon the commencement of “blue sky” work by such counsel and an additional $5,000 at Closing); (f) all fees, expenses and disbursements relating to the registration, qualification or exemption of the Public Securities under the securities laws of such foreign jurisdictions as the Representative may reasonably designate; (g)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and final Prospectuses as the Representative may reasonably deem necessary; (h) the costs and expenses of a public relations firm; (i) the costs of preparing, printing and delivering certificates representing the Public Securities; (j) fees and expenses of the transfer agent for the shares of Common Stock; (k) stock transfer and/or stamp taxes, if any, payable upon the transfer of securities from the Company to the Underwriters; (l) to the extent approved by the Company in writing, the costs associated with post-Closing advertising the Offering in the national editions of the Wall Street Journal and New York Times; (m) the costs associated with one set of bound volumes of the public offering materials as well as commemorative mementos and lucite tombstones, each of which the Company or its designee shall provide within a reasonable time after the Closing Date in such quantities as the Representative may reasonably request; (n) the fees and expenses of the Company’s accountants; (o) the fees and expenses of the Company’s legal counsel and other agents and representatives; (p) fees and expenses of the Representative’s legal counsel not to exceed $125,000; (q) the $29,500 cost associated with the Underwriter’s use of Ipreo’s book-building, prospectus tracking and compliance software for the Offering; (r) $10,000 for data services and communications expenses; and (s) up to $30,000 of the Underwriters’ actual accountable “road show”, market making and trading, and clearing firm settlement expenses for the Offering. The Representative may deduct from the net proceeds of the Offering payable to the Company on the Closing Date, or the Option Closing Date, if any, the expenses set forth herein to be paid by the Company to the Underwriters.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00"/>
          </w:cols>
          <w:pgMar w:left="440" w:top="274" w:right="459" w:bottom="1440" w:gutter="0" w:footer="0" w:header="0"/>
        </w:sectPr>
      </w:pPr>
    </w:p>
    <w:bookmarkStart w:id="221" w:name="page222"/>
    <w:bookmarkEnd w:id="221"/>
    <w:p>
      <w:pPr>
        <w:ind w:left="4"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3.10.2. </w:t>
      </w:r>
      <w:r>
        <w:rPr>
          <w:rFonts w:ascii="Arial" w:cs="Arial" w:eastAsia="Arial" w:hAnsi="Arial"/>
          <w:sz w:val="18"/>
          <w:szCs w:val="18"/>
          <w:u w:val="single" w:color="auto"/>
          <w:color w:val="auto"/>
        </w:rPr>
        <w:t>Non-accountable Expenses</w:t>
      </w:r>
      <w:r>
        <w:rPr>
          <w:rFonts w:ascii="Arial" w:cs="Arial" w:eastAsia="Arial" w:hAnsi="Arial"/>
          <w:sz w:val="18"/>
          <w:szCs w:val="18"/>
          <w:color w:val="auto"/>
        </w:rPr>
        <w:t>. The Company further agrees that, in addition to the expenses payable pursuant to Section 3.10.1, on the Closing Date it shall pay to the Representative, by deduction from the net proceeds of the Offering contemplated herein, a non-accountable expense allowance equal to one percent (1%) of the gross proceeds received by the Company from the sale of the Firm Shares (excluding the Option Shares), less the Advance (as such term is defined in Section 8.3 hereof), provided, however, that in the event that the Offering is terminated, the Company agrees to reimburse the Underwriters pursuant to Section 8.3 hereof.</w:t>
      </w:r>
    </w:p>
    <w:p>
      <w:pPr>
        <w:spacing w:after="0" w:line="80" w:lineRule="exact"/>
        <w:rPr>
          <w:sz w:val="20"/>
          <w:szCs w:val="20"/>
          <w:color w:val="auto"/>
        </w:rPr>
      </w:pPr>
    </w:p>
    <w:p>
      <w:pPr>
        <w:jc w:val="both"/>
        <w:ind w:left="4" w:right="320" w:firstLine="440"/>
        <w:spacing w:after="0" w:line="34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Application of Net Proceeds</w:t>
      </w:r>
      <w:r>
        <w:rPr>
          <w:rFonts w:ascii="Arial" w:cs="Arial" w:eastAsia="Arial" w:hAnsi="Arial"/>
          <w:sz w:val="16"/>
          <w:szCs w:val="16"/>
          <w:color w:val="auto"/>
        </w:rPr>
        <w:t>. The Company shall apply the net proceeds from the Offering received by it in a manner consistent with the application thereof described under the caption “Use of Proceeds” in the Registration Statement, the Pricing Disclosure Package and the Prospectus.</w:t>
      </w:r>
    </w:p>
    <w:p>
      <w:pPr>
        <w:spacing w:after="0" w:line="16"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Delivery of Earnings Statements to Security Holders</w:t>
      </w:r>
      <w:r>
        <w:rPr>
          <w:rFonts w:ascii="Arial" w:cs="Arial" w:eastAsia="Arial" w:hAnsi="Arial"/>
          <w:sz w:val="18"/>
          <w:szCs w:val="18"/>
          <w:color w:val="auto"/>
        </w:rPr>
        <w:t>. The Company shall make generally available to its security holders as soon as practicable, but not later than the first day of the fifteenth (15</w:t>
      </w:r>
      <w:r>
        <w:rPr>
          <w:rFonts w:ascii="Arial" w:cs="Arial" w:eastAsia="Arial" w:hAnsi="Arial"/>
          <w:sz w:val="15"/>
          <w:szCs w:val="15"/>
          <w:color w:val="auto"/>
        </w:rPr>
        <w:t>th</w:t>
      </w:r>
      <w:r>
        <w:rPr>
          <w:rFonts w:ascii="Arial" w:cs="Arial" w:eastAsia="Arial" w:hAnsi="Arial"/>
          <w:sz w:val="18"/>
          <w:szCs w:val="18"/>
          <w:color w:val="auto"/>
        </w:rPr>
        <w:t>) full calendar month following the date of this Agreement, an earnings statement (which need not be certified by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 If such earnings statement is available on EDGAR it shall be deemed to be generally available to security holders.</w:t>
      </w:r>
    </w:p>
    <w:p>
      <w:pPr>
        <w:spacing w:after="0" w:line="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shall maintain a system of internal accounting controls sufficient to provide reasonable assurances that:</w:t>
      </w:r>
    </w:p>
    <w:p>
      <w:pPr>
        <w:spacing w:after="0" w:line="46" w:lineRule="exact"/>
        <w:rPr>
          <w:sz w:val="20"/>
          <w:szCs w:val="20"/>
          <w:color w:val="auto"/>
        </w:rPr>
      </w:pPr>
    </w:p>
    <w:p>
      <w:pPr>
        <w:ind w:left="4" w:right="120" w:hanging="4"/>
        <w:spacing w:after="0" w:line="273" w:lineRule="auto"/>
        <w:tabs>
          <w:tab w:leader="none" w:pos="219"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68"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Accountants</w:t>
      </w:r>
      <w:r>
        <w:rPr>
          <w:rFonts w:ascii="Arial" w:cs="Arial" w:eastAsia="Arial" w:hAnsi="Arial"/>
          <w:sz w:val="16"/>
          <w:szCs w:val="16"/>
          <w:color w:val="auto"/>
        </w:rPr>
        <w:t>. As of the date of this Agreement, the Company shall retain an independent registered public accounting firm reasonably acceptable to the Representative, and the Company shall continue to retain a nationally recognized independent registered public accounting firm for a period of at least three (3) years after the date of this Agreement. The Representative acknowledges that the Auditor is acceptable to the Representative.</w:t>
      </w:r>
    </w:p>
    <w:p>
      <w:pPr>
        <w:spacing w:after="0" w:line="4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FINRA</w:t>
      </w:r>
      <w:r>
        <w:rPr>
          <w:rFonts w:ascii="Arial" w:cs="Arial" w:eastAsia="Arial" w:hAnsi="Arial"/>
          <w:sz w:val="17"/>
          <w:szCs w:val="17"/>
          <w:color w:val="auto"/>
        </w:rPr>
        <w:t>. The Company shall advise the Representative (who shall make an appropriate filing with FINRA) if it is or becomes aware that</w:t>
      </w:r>
    </w:p>
    <w:p>
      <w:pPr>
        <w:spacing w:after="0" w:line="35" w:lineRule="exact"/>
        <w:rPr>
          <w:sz w:val="20"/>
          <w:szCs w:val="20"/>
          <w:color w:val="auto"/>
        </w:rPr>
      </w:pPr>
    </w:p>
    <w:p>
      <w:pPr>
        <w:ind w:left="4" w:hanging="4"/>
        <w:spacing w:after="0" w:line="281" w:lineRule="auto"/>
        <w:tabs>
          <w:tab w:leader="none" w:pos="219"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officer or director of the Company, (ii) any beneficial owner of 5%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 provided that in the case of clause (iii), the Company shall only be required to advise the Representative for a period of one</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year after the Effective Date.</w:t>
      </w:r>
    </w:p>
    <w:p>
      <w:pPr>
        <w:spacing w:after="0" w:line="103" w:lineRule="exact"/>
        <w:rPr>
          <w:sz w:val="20"/>
          <w:szCs w:val="20"/>
          <w:color w:val="auto"/>
        </w:rPr>
      </w:pPr>
    </w:p>
    <w:p>
      <w:pPr>
        <w:jc w:val="both"/>
        <w:ind w:left="4" w:right="200" w:firstLine="440"/>
        <w:spacing w:after="0" w:line="311"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No Fiduciary Duties</w:t>
      </w:r>
      <w:r>
        <w:rPr>
          <w:rFonts w:ascii="Arial" w:cs="Arial" w:eastAsia="Arial" w:hAnsi="Arial"/>
          <w:sz w:val="16"/>
          <w:szCs w:val="16"/>
          <w:color w:val="auto"/>
        </w:rPr>
        <w:t>.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984"/>
          </w:cols>
          <w:pgMar w:left="436" w:top="274" w:right="479" w:bottom="1440" w:gutter="0" w:footer="0" w:header="0"/>
        </w:sectPr>
      </w:pPr>
    </w:p>
    <w:bookmarkStart w:id="222" w:name="page223"/>
    <w:bookmarkEnd w:id="2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3.18 </w:t>
      </w:r>
      <w:r>
        <w:rPr>
          <w:rFonts w:ascii="Arial" w:cs="Arial" w:eastAsia="Arial" w:hAnsi="Arial"/>
          <w:sz w:val="18"/>
          <w:szCs w:val="18"/>
          <w:u w:val="single" w:color="auto"/>
          <w:color w:val="auto"/>
        </w:rPr>
        <w:t>Company Lock-Up Agreements</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3.18.1. </w:t>
      </w:r>
      <w:r>
        <w:rPr>
          <w:rFonts w:ascii="Arial" w:cs="Arial" w:eastAsia="Arial" w:hAnsi="Arial"/>
          <w:sz w:val="17"/>
          <w:szCs w:val="17"/>
          <w:u w:val="single" w:color="auto"/>
          <w:color w:val="auto"/>
        </w:rPr>
        <w:t>Restriction on Sales of Capital Stock</w:t>
      </w:r>
      <w:r>
        <w:rPr>
          <w:rFonts w:ascii="Arial" w:cs="Arial" w:eastAsia="Arial" w:hAnsi="Arial"/>
          <w:sz w:val="17"/>
          <w:szCs w:val="17"/>
          <w:color w:val="auto"/>
        </w:rPr>
        <w:t>. The Company, on behalf of itself and any successor entity, agrees that, without the prior written consent of the Representative, it will not, for a period of 180 days after the date of this Agreement (the “Lock-Up Period”),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caused to be filed any registration statement with the Commission relating to the offering of any shares of capital stock of the Company or any securities convertible into or exercisable or exchangeable for shares of capital stock of the Company; (iii) complete any offering of debt securities of the Company, other than entering into a line of credit with a traditional bank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w:t>
      </w:r>
    </w:p>
    <w:p>
      <w:pPr>
        <w:spacing w:after="0" w:line="18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restrictions contained in this Section 3.18.1 shall not apply to (i) the shares of Common Stock to be sold hereunder, (ii) the issuance by the Company of shares of Common Stock upon the exercise of a stock option or warrant or the conversion of a security outstanding on the date hereof, which is disclosed in the Registration Statement, Disclosure Package and Prospectus, provided that such options, warrants, and securities have not been amended since the date of this Agreement to increase the number of such securities or to decrease the exercise price, exchange price or conversion price of such securities or to extend the term of such securities, or (iii) the issuance by the Company of stock options or shares of capital stock of the Company under any equity compensation plan of the Company, provided that in each of (ii) and (iii) above, the underlying shares shall be restricted from sale during the entire Lock-Up Period.</w:t>
      </w:r>
    </w:p>
    <w:p>
      <w:pPr>
        <w:spacing w:after="0" w:line="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3.18.2. </w:t>
      </w:r>
      <w:r>
        <w:rPr>
          <w:rFonts w:ascii="Arial" w:cs="Arial" w:eastAsia="Arial" w:hAnsi="Arial"/>
          <w:sz w:val="18"/>
          <w:szCs w:val="18"/>
          <w:u w:val="single" w:color="auto"/>
          <w:color w:val="auto"/>
        </w:rPr>
        <w:t>Restriction on Continuous Offerings</w:t>
      </w:r>
      <w:r>
        <w:rPr>
          <w:rFonts w:ascii="Arial" w:cs="Arial" w:eastAsia="Arial" w:hAnsi="Arial"/>
          <w:sz w:val="18"/>
          <w:szCs w:val="18"/>
          <w:color w:val="auto"/>
        </w:rPr>
        <w:t>. Notwithstanding the restrictions contained in Section 3.18.1, the Company, on behalf of itself and any successor entity, agrees that, without the prior written consent of the Representative, it will not, for a period of 12 months after the date of this Agreement, directly or indirectly in any “at-the-market” or continuous equity transaction, offer to sell, sell, contract to sell, grant any option to sell or otherwise dispose of shares of capital stock of the Company or any securities convertible into or exercisable or exchangeable for shares of capital stock of the Company.</w:t>
      </w:r>
    </w:p>
    <w:p>
      <w:pPr>
        <w:spacing w:after="0" w:line="8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Release of D&amp;O Lock-up Period</w:t>
      </w:r>
      <w:r>
        <w:rPr>
          <w:rFonts w:ascii="Arial" w:cs="Arial" w:eastAsia="Arial" w:hAnsi="Arial"/>
          <w:sz w:val="18"/>
          <w:szCs w:val="18"/>
          <w:color w:val="auto"/>
        </w:rPr>
        <w:t>. If the Representative, in its sole discretion, agrees to release or waive the restrictions set forth in the Lock-Up Agreements described in Section 2.24 hereof for an officer or director of the Company and provide the Company with notice of the impending release or waiver at least three (3) Business Days before the effective date of the release or waiver, the Company agrees to announce the impending release or waiver by a press release substantially in the form of Exhibit C hereto through a major news service at least two (2) Business Days before the effective date of the release or waiver.</w:t>
      </w:r>
    </w:p>
    <w:p>
      <w:pPr>
        <w:spacing w:after="0" w:line="8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Blue Sky Qualifications</w:t>
      </w:r>
      <w:r>
        <w:rPr>
          <w:rFonts w:ascii="Arial" w:cs="Arial" w:eastAsia="Arial" w:hAnsi="Arial"/>
          <w:sz w:val="18"/>
          <w:szCs w:val="18"/>
          <w:color w:val="auto"/>
        </w:rPr>
        <w:t>. The Company shall use its best efforts, in cooperation with the Underwriters, if necessary, to qualify the Public Securities for offering and sale under the applicable securities laws of such states and other jurisdictions (domestic or foreign) as the Representative may reasonably designate and to maintain such qualifications in effect so long as required to complete the distribution of the Public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0"/>
          </w:cols>
          <w:pgMar w:left="440" w:top="274" w:right="459" w:bottom="1440" w:gutter="0" w:footer="0" w:header="0"/>
        </w:sectPr>
      </w:pPr>
    </w:p>
    <w:bookmarkStart w:id="223" w:name="page224"/>
    <w:bookmarkEnd w:id="223"/>
    <w:p>
      <w:pPr>
        <w:ind w:left="4" w:right="3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3.21 </w:t>
      </w:r>
      <w:r>
        <w:rPr>
          <w:rFonts w:ascii="Arial" w:cs="Arial" w:eastAsia="Arial" w:hAnsi="Arial"/>
          <w:sz w:val="16"/>
          <w:szCs w:val="16"/>
          <w:u w:val="single" w:color="auto"/>
          <w:color w:val="auto"/>
        </w:rPr>
        <w:t>Reporting Requirements</w:t>
      </w:r>
      <w:r>
        <w:rPr>
          <w:rFonts w:ascii="Arial" w:cs="Arial" w:eastAsia="Arial" w:hAnsi="Arial"/>
          <w:sz w:val="16"/>
          <w:szCs w:val="16"/>
          <w:color w:val="auto"/>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Public Securities as may be required under Rule 463 under the Securities Act Regulations.</w:t>
      </w:r>
    </w:p>
    <w:p>
      <w:pPr>
        <w:spacing w:after="0" w:line="49"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shall promptly notify the Representative if the Company ceases to be an Emerging Growth Company at any time prior to the later of (i) completion of the distribution of the Public Securities within the meaning of the Securities Act and (ii) fifteen (15) days following the completion of the Lock-Up Period.</w:t>
      </w:r>
    </w:p>
    <w:p>
      <w:pPr>
        <w:spacing w:after="0" w:line="76" w:lineRule="exact"/>
        <w:rPr>
          <w:sz w:val="20"/>
          <w:szCs w:val="20"/>
          <w:color w:val="auto"/>
        </w:rPr>
      </w:pPr>
    </w:p>
    <w:p>
      <w:pPr>
        <w:ind w:left="4" w:right="140" w:hanging="4"/>
        <w:spacing w:after="0" w:line="259" w:lineRule="auto"/>
        <w:tabs>
          <w:tab w:leader="none" w:pos="18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Underwriters to purchase and pay for the Public Securities,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Effectiveness of Registration Statement; Rule 430A Information</w:t>
      </w:r>
      <w:r>
        <w:rPr>
          <w:rFonts w:ascii="Arial" w:cs="Arial" w:eastAsia="Arial" w:hAnsi="Arial"/>
          <w:sz w:val="16"/>
          <w:szCs w:val="16"/>
          <w:color w:val="auto"/>
        </w:rPr>
        <w:t>. The Registration Statement has become effective not later than</w:t>
      </w:r>
    </w:p>
    <w:p>
      <w:pPr>
        <w:spacing w:after="0" w:line="46"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5:00 p.m., Eastern time, on the date of this Agreement or such later date and time as shall be consented to in writing by you, and, at each of the Closing Date and any Option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The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75"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On or before the date of this Agreement, the Representative shall have received clearance from FINRA as to the amount of compensation allowable or payable to the Underwriters as described in the Registration Statement.</w:t>
      </w:r>
    </w:p>
    <w:p>
      <w:pPr>
        <w:spacing w:after="0" w:line="62" w:lineRule="exact"/>
        <w:rPr>
          <w:sz w:val="20"/>
          <w:szCs w:val="20"/>
          <w:color w:val="auto"/>
        </w:rPr>
      </w:pPr>
    </w:p>
    <w:p>
      <w:pPr>
        <w:ind w:left="4" w:right="100" w:firstLine="991"/>
        <w:spacing w:after="0" w:line="311"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Exchange Stock Market Clearance</w:t>
      </w:r>
      <w:r>
        <w:rPr>
          <w:rFonts w:ascii="Arial" w:cs="Arial" w:eastAsia="Arial" w:hAnsi="Arial"/>
          <w:sz w:val="16"/>
          <w:szCs w:val="16"/>
          <w:color w:val="auto"/>
        </w:rPr>
        <w:t>. On the Closing Date, the Company’s shares of Common Stock, including the Firm Shares, shall have been approved for listing on the Exchange, subject only to official notice of issuance. On the first Option Closing Date (if any), the Company’s shares of Common Stock, including the Option Shares, shall have been approved for listing on the Exchange, subject only to official notice of issuance.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24"/>
          </w:cols>
          <w:pgMar w:left="436" w:top="274" w:right="439" w:bottom="1440" w:gutter="0" w:footer="0" w:header="0"/>
        </w:sectPr>
      </w:pPr>
    </w:p>
    <w:bookmarkStart w:id="224" w:name="page225"/>
    <w:bookmarkEnd w:id="2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Company Counsel Matters</w:t>
      </w:r>
      <w:r>
        <w:rPr>
          <w:rFonts w:ascii="Arial" w:cs="Arial" w:eastAsia="Arial" w:hAnsi="Arial"/>
          <w:sz w:val="18"/>
          <w:szCs w:val="18"/>
          <w:color w:val="auto"/>
        </w:rPr>
        <w:t>.</w:t>
      </w:r>
    </w:p>
    <w:p>
      <w:pPr>
        <w:spacing w:after="0" w:line="11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Closing Date Opinion of Counsel</w:t>
      </w:r>
      <w:r>
        <w:rPr>
          <w:rFonts w:ascii="Arial" w:cs="Arial" w:eastAsia="Arial" w:hAnsi="Arial"/>
          <w:sz w:val="18"/>
          <w:szCs w:val="18"/>
          <w:color w:val="auto"/>
        </w:rPr>
        <w:t>. On the Closing Date, the Representative shall have received the favorable opinion of Faegre Drinker Biddle &amp; Reath LLP, counsel to the Company, dated the Closing Date and addressed to the Representative, in form and substance reasonably satisfactory to the Representative.</w:t>
      </w:r>
    </w:p>
    <w:p>
      <w:pPr>
        <w:spacing w:after="0" w:line="76"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Opinion of Special Intellectual Property Counsel for the Company</w:t>
      </w:r>
      <w:r>
        <w:rPr>
          <w:rFonts w:ascii="Arial" w:cs="Arial" w:eastAsia="Arial" w:hAnsi="Arial"/>
          <w:sz w:val="18"/>
          <w:szCs w:val="18"/>
          <w:color w:val="auto"/>
        </w:rPr>
        <w:t>. On the Closing Date, the Representative shall have received the opinion of Troutman Pepper Hamilton Sanders LLP , special intellectual property counsel for the Company, dated the Closing Date, in form and substance reasonably satisfactory to the Representative.</w:t>
      </w:r>
    </w:p>
    <w:p>
      <w:pPr>
        <w:spacing w:after="0" w:line="76"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Option Closing Date Opinions of Counsel</w:t>
      </w:r>
      <w:r>
        <w:rPr>
          <w:rFonts w:ascii="Arial" w:cs="Arial" w:eastAsia="Arial" w:hAnsi="Arial"/>
          <w:sz w:val="18"/>
          <w:szCs w:val="18"/>
          <w:color w:val="auto"/>
        </w:rPr>
        <w:t>. On the Option Closing Date, if any, the Representative shall have received the favorable opinions of each counsel listed in Sections 4.2.1 and 4.2.2, dated the Option Closing Date, addressed to the Representative and in form and substance reasonably satisfactory to the Representative, confirming as of the Option Closing Date, the statements made by such counsels in their respective opinions delivered on the Closing Date.</w:t>
      </w:r>
    </w:p>
    <w:p>
      <w:pPr>
        <w:spacing w:after="0" w:line="79"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u w:val="single" w:color="auto"/>
          <w:color w:val="auto"/>
        </w:rPr>
        <w:t>Reliance</w:t>
      </w:r>
      <w:r>
        <w:rPr>
          <w:rFonts w:ascii="Arial" w:cs="Arial" w:eastAsia="Arial" w:hAnsi="Arial"/>
          <w:sz w:val="17"/>
          <w:szCs w:val="17"/>
          <w:color w:val="auto"/>
        </w:rPr>
        <w:t>. In rendering such opinions,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provided that copies of any such statements or certificates shall be delivered to Representative Counsel if requested. The opinion of Faegre Drinker Biddle &amp; Reath LLP and any opinion relied upon by Faegre Drinker Biddle &amp; Reath LLP shall include a statement to the effect that it may be relied upon by Representative Counsel in its opinion delivered to the Underwriters.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Comfort Letters</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Cold Comfort Letter</w:t>
      </w:r>
      <w:r>
        <w:rPr>
          <w:rFonts w:ascii="Arial" w:cs="Arial" w:eastAsia="Arial" w:hAnsi="Arial"/>
          <w:sz w:val="17"/>
          <w:szCs w:val="17"/>
          <w:color w:val="auto"/>
        </w:rPr>
        <w:t>. At the time this Agreement is executed you shall have received a cold comfort letter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Representative and in form and substance satisfactory in all respects to you and to the Auditor, dated as of the date of this Agreement.</w:t>
      </w:r>
    </w:p>
    <w:p>
      <w:pPr>
        <w:spacing w:after="0" w:line="63"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At each of the Closing Date and the Option Closing Date, if any, the Representative shall have received from the Auditor a letter, dated as of the Closing Date or the Option Closing Date, as applicable, to the effect that the Auditor reaffirms the statements made in the letter furnished pursuant to Section 4.3.1, except that the specified date referred to shall be a date not more than three (3) business days prior to the Closing Date or the Option Closing Date, as applicable.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Company shall have furnished to the Representative a certificate, dated the Closing Date and any Option Closing Date (if such date is other than the Closing Date), of its Chief Executive Officer, its President and its Chief Financial Officer stating that (i) such officers have carefully examined the Registration Statement, the Pricing Disclosure Package, any Issuer Free Writing Prospectus and the Prospectus and, in their opinion, the Registration Statement and each amendment thereto, as of the Applicable Time and as of the Closing Date (or any Option Closing Date if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20"/>
          </w:cols>
          <w:pgMar w:left="440" w:top="274" w:right="439" w:bottom="1440" w:gutter="0" w:footer="0" w:header="0"/>
        </w:sectPr>
      </w:pPr>
    </w:p>
    <w:bookmarkStart w:id="225" w:name="page226"/>
    <w:bookmarkEnd w:id="225"/>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date is other than the Closing Date) did not include any untrue statement of a material fact and did not omit to state a material fact required to be stated therein or necessary to make the statements therein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(ii) since the effective date of the Registration Statement, no event has occurred which the Securities Act would require to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in the Pricing Disclosure Package, any material adverse change in the financial position or results of operations of the Company, or any change or development that, singularly or in the aggregate, would involve a material adverse change or a prospective material adverse change, in or affecting the condition (financial or otherwise), results of operations, business, assets or prospects of the Company, except as set forth in the Prospectus.</w:t>
      </w:r>
    </w:p>
    <w:p>
      <w:pPr>
        <w:spacing w:after="0" w:line="59"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At each of the Closing Date and the Option Closing Date, if any, the Representative shall have received a certificate of the Company signed by the Secretary of the Company, dated the Closing Date or the Option Date, as the case may be, respectively, certifying: (i) that each of the Charter and Bylaws is true and complete, has not been modified and is in full force and effect; (ii) that the resolutions of the Company’s Board of Directors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w:t>
      </w:r>
    </w:p>
    <w:p>
      <w:pPr>
        <w:spacing w:after="0" w:line="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Pricing Disclosure Package and the Prospectus; (ii) no action, suit or proceeding, at law or in equity, shall have been pending or threatened against the Company or any Insider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Pricing Disclosure Package and the Prospectus; (iii) no stop order shall have been issued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00"/>
          </w:cols>
          <w:pgMar w:left="440" w:top="274" w:right="459" w:bottom="1440" w:gutter="0" w:footer="0" w:header="0"/>
        </w:sectPr>
      </w:pPr>
    </w:p>
    <w:bookmarkStart w:id="226" w:name="page227"/>
    <w:bookmarkEnd w:id="2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Arial" w:cs="Arial" w:eastAsia="Arial" w:hAnsi="Arial"/>
          <w:sz w:val="18"/>
          <w:szCs w:val="18"/>
          <w:u w:val="single" w:color="auto"/>
          <w:color w:val="auto"/>
        </w:rPr>
        <w:t>Delivery of Agreements</w:t>
      </w:r>
      <w:r>
        <w:rPr>
          <w:rFonts w:ascii="Arial" w:cs="Arial" w:eastAsia="Arial" w:hAnsi="Arial"/>
          <w:sz w:val="18"/>
          <w:szCs w:val="18"/>
          <w:color w:val="auto"/>
        </w:rPr>
        <w:t>.</w:t>
      </w:r>
    </w:p>
    <w:p>
      <w:pPr>
        <w:spacing w:after="0" w:line="117"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On or before the date of this Agreement, the Company shall have delivered to the Representative executed copies of the Lock-Up Agreements from each of the persons listed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w:t>
      </w:r>
    </w:p>
    <w:p>
      <w:pPr>
        <w:spacing w:after="0" w:line="62"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Representative’s Warrant Agreement</w:t>
      </w:r>
      <w:r>
        <w:rPr>
          <w:rFonts w:ascii="Arial" w:cs="Arial" w:eastAsia="Arial" w:hAnsi="Arial"/>
          <w:sz w:val="18"/>
          <w:szCs w:val="18"/>
          <w:color w:val="auto"/>
        </w:rPr>
        <w:t>. On the Closing Date, the Company shall have delivered to the Representative executed copies of the Representative’s Warrant Agreement.</w:t>
      </w:r>
    </w:p>
    <w:p>
      <w:pPr>
        <w:spacing w:after="0" w:line="62" w:lineRule="exact"/>
        <w:rPr>
          <w:sz w:val="20"/>
          <w:szCs w:val="20"/>
          <w:color w:val="auto"/>
        </w:rPr>
      </w:pPr>
    </w:p>
    <w:p>
      <w:pPr>
        <w:ind w:left="4" w:right="180" w:firstLine="440"/>
        <w:spacing w:after="0" w:line="29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Additional Documents</w:t>
      </w:r>
      <w:r>
        <w:rPr>
          <w:rFonts w:ascii="Arial" w:cs="Arial" w:eastAsia="Arial" w:hAnsi="Arial"/>
          <w:sz w:val="16"/>
          <w:szCs w:val="16"/>
          <w:color w:val="auto"/>
        </w:rPr>
        <w:t>. At the Closing Date and at each Option Closing Date (if any) Representative Counsel shall have been furnished with such documents and opinions as they may require for the purpose of enabling Representative Counsel to deliver an opinion to the Underwriters, or in order to evidence the accuracy of any of the representations or warranties, or the fulfillment of any of the conditions, herein contained; and all proceedings taken by the Company in connection with the issuance and sale of the Public Securities and the Representative’s Securities as herein contemplated shall be satisfactory in form and substance to the Representative and Representative Counsel.</w:t>
      </w:r>
    </w:p>
    <w:p>
      <w:pPr>
        <w:spacing w:after="0" w:line="53" w:lineRule="exact"/>
        <w:rPr>
          <w:sz w:val="20"/>
          <w:szCs w:val="20"/>
          <w:color w:val="auto"/>
        </w:rPr>
      </w:pPr>
    </w:p>
    <w:p>
      <w:pPr>
        <w:ind w:left="184" w:hanging="184"/>
        <w:spacing w:after="0"/>
        <w:tabs>
          <w:tab w:leader="none" w:pos="18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Indemnification of the Underwriters</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8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conditions set forth below, the Company agrees to indemnify and hold harmless each Underwriter, its affiliates and each of its and their respective directors, officers, members, employees, representatives, partners, shareholders, counsel and agents and each person, if any, who controls any such Underwriter within the meaning of Section 15 of the Securities Act or Section 20 of the Exchange Act (collectively the “Underwriter Indemnified Parties,” and each an “Underwriter Indemnified Party”),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to which they or any of them may become subject under the Securities Act, the Exchange Act or any other statute or at common law or otherwise or under the laws of foreign countries (a “Claim”), (i) arising out of or based upon any untrue statement or alleged untrue statement of a material fact contained in (A) the Registration Statement, the Pricing Disclosure Package, any Preliminary Prospectus, the Prospectus, or in any Issuer Free Writing Prospectus or in any Written Testing-the-Waters Communication (as from time to time each may be amended and supplemented); (B) any materials or information provided to investors by, or with the approval of, the Company in connection with the marketing of the Offering, including any “road show” or investor presentations made to investors by the Company (whether in person or electronically); or (C) any application or other document or written communication (in this Section 5, collectively called “application”) executed by the Company or based upon written information furnished by the Company in any jurisdiction in order to qualify the Public Securities and Representative’s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or</w:t>
      </w:r>
    </w:p>
    <w:p>
      <w:pPr>
        <w:spacing w:after="0" w:line="11" w:lineRule="exact"/>
        <w:rPr>
          <w:sz w:val="20"/>
          <w:szCs w:val="20"/>
          <w:color w:val="auto"/>
        </w:rPr>
      </w:pPr>
    </w:p>
    <w:p>
      <w:pPr>
        <w:ind w:left="4" w:right="100" w:hanging="4"/>
        <w:spacing w:after="0" w:line="270" w:lineRule="auto"/>
        <w:tabs>
          <w:tab w:leader="none" w:pos="269" w:val="left"/>
        </w:tabs>
        <w:numPr>
          <w:ilvl w:val="0"/>
          <w:numId w:val="97"/>
        </w:numPr>
        <w:rPr>
          <w:rFonts w:ascii="Arial" w:cs="Arial" w:eastAsia="Arial" w:hAnsi="Arial"/>
          <w:sz w:val="17"/>
          <w:szCs w:val="17"/>
          <w:color w:val="auto"/>
        </w:rPr>
      </w:pPr>
      <w:r>
        <w:rPr>
          <w:rFonts w:ascii="Arial" w:cs="Arial" w:eastAsia="Arial" w:hAnsi="Arial"/>
          <w:sz w:val="17"/>
          <w:szCs w:val="17"/>
          <w:color w:val="auto"/>
        </w:rPr>
        <w:t>otherwise arising in connection with or allegedly in connection with the Offering. The Company also agrees that it will reimburse each Underwriter Indemnified Party for all fees and expenses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(collectively, the “Expenses”), and further agrees wherever and whenever possible to advance payment of Expenses as they are incurred by an Underwriter Indemnified Party in investigating, preparing, pursuing or defending any Claim.</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1"/>
          <w:numId w:val="97"/>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04"/>
          </w:cols>
          <w:pgMar w:left="436" w:top="274" w:right="459" w:bottom="1440" w:gutter="0" w:footer="0" w:header="0"/>
        </w:sectPr>
      </w:pPr>
    </w:p>
    <w:bookmarkStart w:id="227" w:name="page228"/>
    <w:bookmarkEnd w:id="227"/>
    <w:p>
      <w:pPr>
        <w:ind w:right="2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Arial" w:cs="Arial" w:eastAsia="Arial" w:hAnsi="Arial"/>
          <w:sz w:val="17"/>
          <w:szCs w:val="17"/>
          <w:u w:val="single" w:color="auto"/>
          <w:color w:val="auto"/>
        </w:rPr>
        <w:t>Procedure</w:t>
      </w:r>
      <w:r>
        <w:rPr>
          <w:rFonts w:ascii="Arial" w:cs="Arial" w:eastAsia="Arial" w:hAnsi="Arial"/>
          <w:sz w:val="17"/>
          <w:szCs w:val="17"/>
          <w:color w:val="auto"/>
        </w:rPr>
        <w:t>. If any action is brought against an Underwriter Indemnified Party in respect of which indemnity may be sought against the Company pursuant to Section 5.1.1, such Underwriter Indemnified Party shall promptly notify the Company in writing of the institution of such action and the Company shall assume the defense of such action, including the employment and fees of counsel (subject to the approval of such Underwriter Indemnified Party) and payment of actual expenses if an Underwriter Indemnified Party requests that the Company do so. Such Underwriter Indemnified Party shall have the right to employ its or their own counsel in any such case, but the fees and expenses of such counsel shall be at the expense of the Company, and shall be advanced by the Company. The Company shall not be liable for any settlement of any action effected without its consent (which shall not be unreasonably withheld). In addition, the Company shall not, without the prior written consent of the Underwriters, settle, compromise or consent to the entry of any judgment in or otherwise seek to terminate any pending or threatened action in respect of which advancement, reimbursement, indemnification or contribution may be sought hereunder (whether or not such Underwriter Indemnified Party is a party thereto) unless such settlement, compromise, consent or termination (i) includes an unconditional release of each Underwriter Indemnified Party, acceptable to such Underwriter Indemnified Party, from all liabilities, expenses and claims arising out of such action for which indemnification or contribution may be sought and (ii) does not include a statement as to or an admission of fault, culpability or a failure to act, by or on behalf of any Underwriter Indemnified Party.</w:t>
      </w:r>
    </w:p>
    <w:p>
      <w:pPr>
        <w:spacing w:after="0" w:line="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Each Underwriter, severally and not jointly, agrees to indemnify and hold harmless the Company, its directors, its officers who signed the Registration Statement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5.1.2. The Company agrees promptly to notify the Representative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 or any Written Testing-the-Waters Communication.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5.3.1. </w:t>
      </w:r>
      <w:r>
        <w:rPr>
          <w:rFonts w:ascii="Arial" w:cs="Arial" w:eastAsia="Arial" w:hAnsi="Arial"/>
          <w:sz w:val="17"/>
          <w:szCs w:val="17"/>
          <w:u w:val="single" w:color="auto"/>
          <w:color w:val="auto"/>
        </w:rPr>
        <w:t>Contribution Rights</w:t>
      </w:r>
      <w:r>
        <w:rPr>
          <w:rFonts w:ascii="Arial" w:cs="Arial" w:eastAsia="Arial" w:hAnsi="Arial"/>
          <w:sz w:val="17"/>
          <w:szCs w:val="17"/>
          <w:color w:val="auto"/>
        </w:rPr>
        <w:t>.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020"/>
          </w:cols>
          <w:pgMar w:left="440" w:top="274" w:right="439" w:bottom="1440" w:gutter="0" w:footer="0" w:header="0"/>
        </w:sectPr>
      </w:pPr>
    </w:p>
    <w:bookmarkStart w:id="228" w:name="page229"/>
    <w:bookmarkEnd w:id="228"/>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Public Securities purchased under this Agreement (before deducting expenses) received by the Company, as set forth in the table on the cover page of the Prospectus, on the one hand, and the total underwriting discounts and commissions received by the Underwriters with respect to the shares of the Common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5.3.1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5.3.1 shall be deemed to include, for purposes of this</w:t>
      </w:r>
    </w:p>
    <w:p>
      <w:pPr>
        <w:spacing w:after="0" w:line="1" w:lineRule="exact"/>
        <w:rPr>
          <w:sz w:val="20"/>
          <w:szCs w:val="20"/>
          <w:color w:val="auto"/>
        </w:rPr>
      </w:pPr>
    </w:p>
    <w:p>
      <w:pPr>
        <w:ind w:left="4" w:right="140"/>
        <w:spacing w:after="0" w:line="270" w:lineRule="auto"/>
        <w:rPr>
          <w:sz w:val="20"/>
          <w:szCs w:val="20"/>
          <w:color w:val="auto"/>
        </w:rPr>
      </w:pPr>
      <w:r>
        <w:rPr>
          <w:rFonts w:ascii="Arial" w:cs="Arial" w:eastAsia="Arial" w:hAnsi="Arial"/>
          <w:sz w:val="17"/>
          <w:szCs w:val="17"/>
          <w:color w:val="auto"/>
        </w:rPr>
        <w:t>Section 5.3.1, any legal or other expenses reasonably incurred by such indemnified party in connection with investigating or defending any such action or claim. Notwithstanding the provisions of this Section 5.3.1 in no event shall an Underwriter be required to contribute any amount in excess of the amount by which the total underwriting discounts and commissions received by such Underwriter with respect to the Offering of the Public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70" w:lineRule="exact"/>
        <w:rPr>
          <w:sz w:val="20"/>
          <w:szCs w:val="20"/>
          <w:color w:val="auto"/>
        </w:rPr>
      </w:pPr>
    </w:p>
    <w:p>
      <w:pPr>
        <w:ind w:left="4" w:right="100" w:firstLine="991"/>
        <w:spacing w:after="0" w:line="269"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u w:val="single" w:color="auto"/>
          <w:color w:val="auto"/>
        </w:rPr>
        <w:t>Contribution Procedure</w:t>
      </w:r>
      <w:r>
        <w:rPr>
          <w:rFonts w:ascii="Arial" w:cs="Arial" w:eastAsia="Arial" w:hAnsi="Arial"/>
          <w:sz w:val="17"/>
          <w:szCs w:val="17"/>
          <w:color w:val="auto"/>
        </w:rPr>
        <w:t>. Within fifteen (15) days after receipt by any party to this Agreement (or its representative) of notice of the commencement of any action, suit or proceeding, such party will, if a claim for contribution in respect thereof is to be made against another party (“contributing party”),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on account of any settlement of any claim, action or proceeding affected by such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 Each Underwriter’s obligations to contribute pursuant to this Section 5.3 are several and not joint.</w:t>
      </w:r>
    </w:p>
    <w:p>
      <w:pPr>
        <w:spacing w:after="0" w:line="182" w:lineRule="exact"/>
        <w:rPr>
          <w:sz w:val="20"/>
          <w:szCs w:val="20"/>
          <w:color w:val="auto"/>
        </w:rPr>
      </w:pPr>
    </w:p>
    <w:p>
      <w:pPr>
        <w:ind w:left="184" w:hanging="184"/>
        <w:spacing w:after="0"/>
        <w:tabs>
          <w:tab w:leader="none" w:pos="18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117" w:lineRule="exact"/>
        <w:rPr>
          <w:sz w:val="20"/>
          <w:szCs w:val="20"/>
          <w:color w:val="auto"/>
        </w:rPr>
      </w:pPr>
    </w:p>
    <w:p>
      <w:pPr>
        <w:ind w:left="4" w:right="320" w:firstLine="440"/>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Default Not Exceeding 10% of Firm Shares or Option Shares</w:t>
      </w:r>
      <w:r>
        <w:rPr>
          <w:rFonts w:ascii="Arial" w:cs="Arial" w:eastAsia="Arial" w:hAnsi="Arial"/>
          <w:sz w:val="17"/>
          <w:szCs w:val="17"/>
          <w:color w:val="auto"/>
        </w:rPr>
        <w:t>. If any Underwriter or Underwriters shall default in its or their obligations to purchase the Firm Shares or the Option Shares, if the Over-allotment Option is exercised hereunder, and if the number of the Firm Shares or Option Shares with respect to which such default relates does not exceed in the aggregate 10% of the number of Firm Shares or Option Shares that all Underwriters have agreed to purchase hereunder, then such Firm Shares or Option Shares to which the default relates shall be purchased by the non-defaulting Underwriters in proportion to their respective commitments hereunder.</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004"/>
          </w:cols>
          <w:pgMar w:left="436" w:top="274" w:right="459" w:bottom="1440" w:gutter="0" w:footer="0" w:header="0"/>
        </w:sectPr>
      </w:pPr>
    </w:p>
    <w:bookmarkStart w:id="229" w:name="page230"/>
    <w:bookmarkEnd w:id="229"/>
    <w:p>
      <w:pPr>
        <w:ind w:left="4"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Arial" w:cs="Arial" w:eastAsia="Arial" w:hAnsi="Arial"/>
          <w:sz w:val="16"/>
          <w:szCs w:val="16"/>
          <w:u w:val="single" w:color="auto"/>
          <w:color w:val="auto"/>
        </w:rPr>
        <w:t>Default Exceeding 10% of Firm Shares or Option Shares</w:t>
      </w:r>
      <w:r>
        <w:rPr>
          <w:rFonts w:ascii="Arial" w:cs="Arial" w:eastAsia="Arial" w:hAnsi="Arial"/>
          <w:sz w:val="16"/>
          <w:szCs w:val="16"/>
          <w:color w:val="auto"/>
        </w:rPr>
        <w:t>. In the event that the default addressed in Section 6.1 relates to more than 10% of the Firm Shares or Option Shares, you may in your discretion arrange for yourself or for another party or parties to purchase such Firm Shares or Option Shares to which such default relates on the terms contained herein. If, within one (1) Business Day after such default relating to more than 10% of the Firm Shares or Option Shares, you do not arrange for the purchase of such Firm Shares or Option Shares, then the Company shall be entitled to a further period of one (1) Business Day within which to procure another party or parties satisfactory to you to purchase said Firm Shares or Option Shares on such terms. In the event that neither you nor the Company arrange for the purchase of the Firm Shares or Option Shares to which a default relates as provided in this Section 6, this Agreement will automatically be terminated by you or the Company without liability on the part of the Company (except as provided in Sections 3.9 and 5 hereof) or the several Underwriters (except as provided in Section 5 hereof); provided, however, that if such default occurs with respect to the Option Shares, this Agreement will not terminate as to the Firm Shares; and provided, further, that nothing herein shall relieve a defaulting Underwriter of its liability, if any, to the other Underwriters and to the Company for damages occasioned by its default hereunder.</w:t>
      </w:r>
    </w:p>
    <w:p>
      <w:pPr>
        <w:spacing w:after="0" w:line="60"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Postponement of Closing Date</w:t>
      </w:r>
      <w:r>
        <w:rPr>
          <w:rFonts w:ascii="Arial" w:cs="Arial" w:eastAsia="Arial" w:hAnsi="Arial"/>
          <w:sz w:val="16"/>
          <w:szCs w:val="16"/>
          <w:color w:val="auto"/>
        </w:rPr>
        <w:t>. In the event that the Firm Shares or Option Shares to which the default relates are to be purchased by the non-defaulting Underwriters, or are to be purchased by another party or parties as aforesaid, you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counsel for the Underwriter may thereby be made necessary. The term “Underwriter” as used in this Agreement shall include any party substituted under this Section 6 with like effect as if it had originally been a party to this Agreement with respect to such shares of Common Stock.</w:t>
      </w:r>
    </w:p>
    <w:p>
      <w:pPr>
        <w:spacing w:after="0" w:line="58" w:lineRule="exact"/>
        <w:rPr>
          <w:sz w:val="20"/>
          <w:szCs w:val="20"/>
          <w:color w:val="auto"/>
        </w:rPr>
      </w:pPr>
    </w:p>
    <w:p>
      <w:pPr>
        <w:ind w:left="184" w:hanging="184"/>
        <w:spacing w:after="0"/>
        <w:tabs>
          <w:tab w:leader="none" w:pos="18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left="4" w:right="180" w:firstLine="440"/>
        <w:spacing w:after="0" w:line="29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Board Composition and Board Designations</w:t>
      </w:r>
      <w:r>
        <w:rPr>
          <w:rFonts w:ascii="Arial" w:cs="Arial" w:eastAsia="Arial" w:hAnsi="Arial"/>
          <w:sz w:val="16"/>
          <w:szCs w:val="16"/>
          <w:color w:val="auto"/>
        </w:rPr>
        <w:t>. The Company shall ensure that: (i) the qualifications of the persons serving as members of the Board of Directors and the overall composition of the Board comply with the Sarbanes-Oxley Act, with the Exchange Act and with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of the Board of Directors qualifies as an “audit committee financial expert,” as such term is defined under Regulation S-K and the listing rules of the Exchange.</w:t>
      </w:r>
    </w:p>
    <w:p>
      <w:pPr>
        <w:spacing w:after="0" w:line="53"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Prohibition on Press Releases and Public Announcements</w:t>
      </w:r>
      <w:r>
        <w:rPr>
          <w:rFonts w:ascii="Arial" w:cs="Arial" w:eastAsia="Arial" w:hAnsi="Arial"/>
          <w:sz w:val="18"/>
          <w:szCs w:val="18"/>
          <w:color w:val="auto"/>
        </w:rPr>
        <w:t>. The Company shall not issue press releases or engage in any other publicity, without the Representative’s prior written consent, for a period ending at 5:00 p.m., Eastern time, on the first (1</w:t>
      </w:r>
      <w:r>
        <w:rPr>
          <w:rFonts w:ascii="Arial" w:cs="Arial" w:eastAsia="Arial" w:hAnsi="Arial"/>
          <w:sz w:val="15"/>
          <w:szCs w:val="15"/>
          <w:color w:val="auto"/>
        </w:rPr>
        <w:t>st</w:t>
      </w:r>
      <w:r>
        <w:rPr>
          <w:rFonts w:ascii="Arial" w:cs="Arial" w:eastAsia="Arial" w:hAnsi="Arial"/>
          <w:sz w:val="18"/>
          <w:szCs w:val="18"/>
          <w:color w:val="auto"/>
        </w:rPr>
        <w:t>) Business Day following the twenty-fifth (25</w:t>
      </w:r>
      <w:r>
        <w:rPr>
          <w:rFonts w:ascii="Arial" w:cs="Arial" w:eastAsia="Arial" w:hAnsi="Arial"/>
          <w:sz w:val="15"/>
          <w:szCs w:val="15"/>
          <w:color w:val="auto"/>
        </w:rPr>
        <w:t>th</w:t>
      </w:r>
      <w:r>
        <w:rPr>
          <w:rFonts w:ascii="Arial" w:cs="Arial" w:eastAsia="Arial" w:hAnsi="Arial"/>
          <w:sz w:val="18"/>
          <w:szCs w:val="18"/>
          <w:color w:val="auto"/>
        </w:rPr>
        <w:t>) day after the execution of this Agreement, other than normal and customary releases issued in the ordinary course of the Company’s business.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84"/>
          </w:cols>
          <w:pgMar w:left="436" w:top="274" w:right="479" w:bottom="1440" w:gutter="0" w:footer="0" w:header="0"/>
        </w:sectPr>
      </w:pPr>
    </w:p>
    <w:bookmarkStart w:id="230" w:name="page231"/>
    <w:bookmarkEnd w:id="230"/>
    <w:p>
      <w:pPr>
        <w:ind w:left="4"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Provided that the Firm Shares are sold in accordance with the terms of this Agreement, the Representative shall have an irrevocable right of first refusal (the “Right of First Refusal”), for a period of twenty-four (24) months after the date the Closing Date, to act as sole and exclusive investment banker, sole and exclusive book-runner, sole and exclusive financial advisor, sole and exclusive underwriter and/or sole and exclusive placement agent, at the Representative’s sole and exclusive discretion, for each and every future public and private equity and debt offering, including all equity linked financings (each, a “Subject Transaction”), during such twenty-four (24) month period, of the Company, or any successor to or subsidiary of the Company, on terms and conditions customary to the Representative for such Subject Transactions. For the avoidance of any doubt, the Company shall not retain, engage or solicit any additional investment banker, book-runner, financial advisor, underwriter and/or placement agent in a Subject Transaction without the express written consent of the Representative.</w:t>
      </w:r>
    </w:p>
    <w:p>
      <w:pPr>
        <w:spacing w:after="0" w:line="178" w:lineRule="exact"/>
        <w:rPr>
          <w:sz w:val="20"/>
          <w:szCs w:val="20"/>
          <w:color w:val="auto"/>
        </w:rPr>
      </w:pPr>
    </w:p>
    <w:p>
      <w:pPr>
        <w:ind w:left="4" w:right="140" w:firstLine="440"/>
        <w:spacing w:after="0" w:line="254" w:lineRule="auto"/>
        <w:rPr>
          <w:sz w:val="20"/>
          <w:szCs w:val="20"/>
          <w:color w:val="auto"/>
        </w:rPr>
      </w:pPr>
      <w:r>
        <w:rPr>
          <w:rFonts w:ascii="Arial" w:cs="Arial" w:eastAsia="Arial" w:hAnsi="Arial"/>
          <w:sz w:val="18"/>
          <w:szCs w:val="18"/>
          <w:color w:val="auto"/>
        </w:rPr>
        <w:t>The Company shall notify the Representative of its intention to pursue a Subject Transaction, including the material terms thereof, by providing written notice thereof by registered mail or overnight courier service addressed to the Representative. If the Representative fails to exercise its Right of First Refusal with respect to any Subject Transaction within ten (10) Business Days after the mailing of such written notice, then the Representative shall have no further claim or right with respect to the Subject Transaction. The Representative may elect, in its sole and absolute discretion, not to exercise its Right of First Refusal with respect to any Subject Transaction; provided that any such election by the Representative shall not adversely affect the Representative’s Right of First Refusal with respect to any other Subject Transaction during the twenty-four (24) month period agreed to above.</w:t>
      </w:r>
    </w:p>
    <w:p>
      <w:pPr>
        <w:spacing w:after="0" w:line="195" w:lineRule="exact"/>
        <w:rPr>
          <w:sz w:val="20"/>
          <w:szCs w:val="20"/>
          <w:color w:val="auto"/>
        </w:rPr>
      </w:pPr>
    </w:p>
    <w:p>
      <w:pPr>
        <w:ind w:left="184" w:hanging="184"/>
        <w:spacing w:after="0"/>
        <w:tabs>
          <w:tab w:leader="none" w:pos="18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when both the Company and the Representative have executed the same and delivered counterparts of such signatures to the other party.</w:t>
      </w:r>
    </w:p>
    <w:p>
      <w:pPr>
        <w:spacing w:after="0" w:line="62"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your opinion will in the immediate future materially disrupt, general securities markets in the United States; or (ii) if trading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w:t>
      </w:r>
    </w:p>
    <w:p>
      <w:pPr>
        <w:spacing w:after="0" w:line="4" w:lineRule="exact"/>
        <w:rPr>
          <w:sz w:val="20"/>
          <w:szCs w:val="20"/>
          <w:color w:val="auto"/>
        </w:rPr>
      </w:pPr>
    </w:p>
    <w:p>
      <w:pPr>
        <w:ind w:left="4" w:right="40" w:hanging="4"/>
        <w:spacing w:after="0" w:line="288" w:lineRule="auto"/>
        <w:tabs>
          <w:tab w:leader="none" w:pos="25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your opinion, make it inadvisable to proceed with the delivery of the Firm Shares or Option Shares; or (vii) if the Company is in material breach of any of its representations, warranties or covenants hereunder; or (viii) if the Representative shall have become aware after the date hereof of such a material adverse change in the conditions or prospects of the Company, or such adverse material change in general market conditions as in the Representative’s judgment would make it impracticable to proceed with the offering, sale and/or delivery of the Public Securities or to enforce contracts made by the Underwriters for the sale of the Public Securities.</w:t>
      </w:r>
    </w:p>
    <w:p>
      <w:pPr>
        <w:spacing w:after="0" w:line="60"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Expenses</w:t>
      </w:r>
      <w:r>
        <w:rPr>
          <w:rFonts w:ascii="Arial" w:cs="Arial" w:eastAsia="Arial" w:hAnsi="Arial"/>
          <w:sz w:val="18"/>
          <w:szCs w:val="18"/>
          <w:color w:val="auto"/>
        </w:rPr>
        <w:t>. Notwithstanding anything to the contrary in this Agreement, except in the case of a default by the Underwriters, pursuant to Section 6.2 above, in the event that this Agreement shall not be carried out for any reason whatsoever, within the time specified herein or any extensions thereof pursuant to the terms herein, the Company shall be obligated to pay to the Underwriters their actual and accountable out-of-pocket expenses related to the transactions contemplated herein then due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04"/>
          </w:cols>
          <w:pgMar w:left="436" w:top="274" w:right="459" w:bottom="1440" w:gutter="0" w:footer="0" w:header="0"/>
        </w:sectPr>
      </w:pPr>
    </w:p>
    <w:bookmarkStart w:id="231" w:name="page232"/>
    <w:bookmarkEnd w:id="231"/>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payable (including the fees and disbursements of Representative Counsel) up to $300,000, inclusive of the $50,000 advance for accountable expenses previously paid by the Company to the Representative (the “Advance”) and upon demand the Company shall pay the full amount thereof to the Representative on behalf of the Underwriters; provided, however, that such expense cap in no way limits or impairs the indemnification and contribution provisions of this Agreement. Notwithstanding the foregoing, any advance received by the Representative will be reimbursed to the Company to the extent not actually incurred in compliance with FINRA Rule 5110(f)(2)(C).</w:t>
      </w:r>
    </w:p>
    <w:p>
      <w:pPr>
        <w:spacing w:after="0" w:line="80"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Indemnification</w:t>
      </w:r>
      <w:r>
        <w:rPr>
          <w:rFonts w:ascii="Arial" w:cs="Arial" w:eastAsia="Arial" w:hAnsi="Arial"/>
          <w:sz w:val="17"/>
          <w:szCs w:val="17"/>
          <w:color w:val="auto"/>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spacing w:after="0" w:line="5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Representations, Warranties, Agreements to Survive</w:t>
      </w:r>
      <w:r>
        <w:rPr>
          <w:rFonts w:ascii="Arial" w:cs="Arial" w:eastAsia="Arial" w:hAnsi="Arial"/>
          <w:sz w:val="18"/>
          <w:szCs w:val="18"/>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Public Securities.</w:t>
      </w:r>
    </w:p>
    <w:p>
      <w:pPr>
        <w:spacing w:after="0" w:line="187" w:lineRule="exact"/>
        <w:rPr>
          <w:sz w:val="20"/>
          <w:szCs w:val="20"/>
          <w:color w:val="auto"/>
        </w:rPr>
      </w:pPr>
    </w:p>
    <w:p>
      <w:pPr>
        <w:ind w:left="184" w:hanging="184"/>
        <w:spacing w:after="0"/>
        <w:tabs>
          <w:tab w:leader="none" w:pos="18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Representative: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ThinkEquity</w:t>
      </w:r>
    </w:p>
    <w:p>
      <w:pPr>
        <w:spacing w:after="0" w:line="2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 State Street, 22</w:t>
      </w:r>
      <w:r>
        <w:rPr>
          <w:rFonts w:ascii="Arial" w:cs="Arial" w:eastAsia="Arial" w:hAnsi="Arial"/>
          <w:sz w:val="15"/>
          <w:szCs w:val="15"/>
          <w:color w:val="auto"/>
        </w:rPr>
        <w:t>nd</w:t>
      </w:r>
      <w:r>
        <w:rPr>
          <w:rFonts w:ascii="Arial" w:cs="Arial" w:eastAsia="Arial" w:hAnsi="Arial"/>
          <w:sz w:val="18"/>
          <w:szCs w:val="18"/>
          <w:color w:val="auto"/>
        </w:rPr>
        <w:t xml:space="preserve"> Fl</w:t>
      </w:r>
    </w:p>
    <w:p>
      <w:pPr>
        <w:spacing w:after="0" w:line="1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Attn: Mr. Eric Lord, Head of Investment Banking</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Fax: (212) 349-2550</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Venable LLP</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Rockefeller Center, 1270 Avenue of the Americas, 24th Floor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Attn: William N. Haddad</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Fax No.: +1 212.307.5598</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Context Therapeutics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3675 Market Street, Suite 200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Philadelphia, Pennsylvania 19104</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Martin Lehr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04"/>
          </w:cols>
          <w:pgMar w:left="436" w:top="274" w:right="459" w:bottom="1440" w:gutter="0" w:footer="0" w:header="0"/>
        </w:sectPr>
      </w:pPr>
    </w:p>
    <w:bookmarkStart w:id="232" w:name="page233"/>
    <w:bookmarkEnd w:id="2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Faegre Drinker Biddle &amp; Reath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2200 Wells Fargo Center, 90 S. Seventh 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Ben A. Stacke.</w:t>
      </w:r>
    </w:p>
    <w:p>
      <w:pPr>
        <w:spacing w:after="0" w:line="21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only be amended by a written instrument executed by each of the parties hereto.</w:t>
      </w:r>
    </w:p>
    <w:p>
      <w:pPr>
        <w:spacing w:after="0" w:line="11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constitutes the entire agreement of the parties hereto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hereto that all other terms and conditions of that certain engagement letter (as amended or supplemented) between the Company and ThinkEquity, a division of Fordham Financial Management, Inc., dated December 14, 2020, shall remain in full force and effect.</w:t>
      </w:r>
    </w:p>
    <w:p>
      <w:pPr>
        <w:spacing w:after="0" w:line="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solely to the benefit of and shall be binding upon the Representative, the Underwriters, the Company and the controlling persons, directors and officers referred to in Section 5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any of the Underwriters.</w:t>
      </w:r>
    </w:p>
    <w:p>
      <w:pPr>
        <w:spacing w:after="0" w:line="8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Governing Law; Consent to Jurisdiction; Trial by Jury</w:t>
      </w:r>
      <w:r>
        <w:rPr>
          <w:rFonts w:ascii="Arial" w:cs="Arial" w:eastAsia="Arial" w:hAnsi="Arial"/>
          <w:sz w:val="16"/>
          <w:szCs w:val="16"/>
          <w:color w:val="auto"/>
        </w:rPr>
        <w:t>. This Agreement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Agreement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9.1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000"/>
          </w:cols>
          <w:pgMar w:left="440" w:top="274" w:right="459" w:bottom="1440" w:gutter="0" w:footer="0" w:header="0"/>
        </w:sectPr>
      </w:pPr>
    </w:p>
    <w:bookmarkStart w:id="233" w:name="page234"/>
    <w:bookmarkEnd w:id="233"/>
    <w:p>
      <w:pPr>
        <w:ind w:right="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9.7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w:t>
      </w:r>
    </w:p>
    <w:p>
      <w:pPr>
        <w:spacing w:after="0" w:line="4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000"/>
          </w:cols>
          <w:pgMar w:left="440" w:top="274" w:right="459" w:bottom="1440" w:gutter="0" w:footer="0" w:header="0"/>
        </w:sectPr>
      </w:pPr>
    </w:p>
    <w:bookmarkStart w:id="234" w:name="page235"/>
    <w:bookmarkEnd w:id="23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Underwriters and the Company, please so indicate in the space provided below for that purpose, whereupon this letter shall constitute a binding agreement between us.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CONTEXT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 mentioned,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behalf of itself and as Representative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THINKEQUITY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Division of Fordham Financial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[ISSUER] – U</w:t>
      </w:r>
      <w:r>
        <w:rPr>
          <w:rFonts w:ascii="Arial" w:cs="Arial" w:eastAsia="Arial" w:hAnsi="Arial"/>
          <w:sz w:val="14"/>
          <w:szCs w:val="14"/>
          <w:color w:val="auto"/>
        </w:rPr>
        <w:t>NDERWRITING</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920"/>
          </w:cols>
          <w:pgMar w:left="440" w:top="274" w:right="539" w:bottom="1440" w:gutter="0" w:footer="0" w:header="0"/>
        </w:sectPr>
      </w:pPr>
    </w:p>
    <w:bookmarkStart w:id="235" w:name="page236"/>
    <w:bookmarkEnd w:id="235"/>
    <w:p>
      <w:pPr>
        <w:jc w:val="right"/>
        <w:ind w:right="40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w w:val="95"/>
              </w:rPr>
              <w:t>Number of Additional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398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3"/>
              </w:rPr>
              <w:t>Total Number of</w:t>
            </w:r>
          </w:p>
        </w:tc>
        <w:tc>
          <w:tcPr>
            <w:tcW w:w="2580" w:type="dxa"/>
            <w:vAlign w:val="bottom"/>
          </w:tcPr>
          <w:p>
            <w:pPr>
              <w:jc w:val="center"/>
              <w:ind w:left="848"/>
              <w:spacing w:after="0" w:line="149" w:lineRule="exact"/>
              <w:rPr>
                <w:sz w:val="20"/>
                <w:szCs w:val="20"/>
                <w:color w:val="auto"/>
              </w:rPr>
            </w:pPr>
            <w:r>
              <w:rPr>
                <w:rFonts w:ascii="Arial" w:cs="Arial" w:eastAsia="Arial" w:hAnsi="Arial"/>
                <w:sz w:val="14"/>
                <w:szCs w:val="14"/>
                <w:b w:val="1"/>
                <w:bCs w:val="1"/>
                <w:color w:val="auto"/>
                <w:w w:val="89"/>
              </w:rPr>
              <w:t>Shares to be Purchased if</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2580" w:type="dxa"/>
            <w:vAlign w:val="bottom"/>
          </w:tcPr>
          <w:p>
            <w:pPr>
              <w:jc w:val="center"/>
              <w:ind w:left="848"/>
              <w:spacing w:after="0" w:line="149" w:lineRule="exact"/>
              <w:rPr>
                <w:sz w:val="20"/>
                <w:szCs w:val="20"/>
                <w:color w:val="auto"/>
              </w:rPr>
            </w:pPr>
            <w:r>
              <w:rPr>
                <w:rFonts w:ascii="Arial" w:cs="Arial" w:eastAsia="Arial" w:hAnsi="Arial"/>
                <w:sz w:val="14"/>
                <w:szCs w:val="14"/>
                <w:b w:val="1"/>
                <w:bCs w:val="1"/>
                <w:color w:val="auto"/>
                <w:w w:val="94"/>
              </w:rPr>
              <w:t>the Over-Allotment Option</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398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Firm Shares to be Purchased</w:t>
            </w:r>
          </w:p>
        </w:tc>
        <w:tc>
          <w:tcPr>
            <w:tcW w:w="2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is Fully Exercised</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ThinkEquity, a division of Fordham Financial</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Management, Inc.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5715</wp:posOffset>
            </wp:positionV>
            <wp:extent cx="44659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17145</wp:posOffset>
            </wp:positionV>
            <wp:extent cx="446595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4465955" cy="25400"/>
                    </a:xfrm>
                    <a:prstGeom prst="rect">
                      <a:avLst/>
                    </a:prstGeom>
                    <a:noFill/>
                  </pic:spPr>
                </pic:pic>
              </a:graphicData>
            </a:graphic>
          </wp:anchor>
        </w:drawing>
      </w:r>
    </w:p>
    <w:p>
      <w:pPr>
        <w:spacing w:after="0" w:line="1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Sch. 1-1</w:t>
      </w:r>
    </w:p>
    <w:p>
      <w:pPr>
        <w:sectPr>
          <w:pgSz w:w="11900" w:h="16838" w:orient="portrait"/>
          <w:cols w:equalWidth="0" w:num="1">
            <w:col w:w="10140"/>
          </w:cols>
          <w:pgMar w:left="440" w:top="270" w:right="1319" w:bottom="1440" w:gutter="0" w:footer="0" w:header="0"/>
        </w:sectPr>
      </w:pPr>
    </w:p>
    <w:bookmarkStart w:id="236" w:name="page237"/>
    <w:bookmarkEnd w:id="236"/>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2-A</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Non-accountable expense allowance per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Proceeds to Company per Share (before expenses): $[•]</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SCHEDULE 2-B</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b w:val="1"/>
          <w:bCs w:val="1"/>
          <w:color w:val="auto"/>
        </w:rPr>
        <w:t>Issuer General Use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SCHEDULE 2-C</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Written Testing-the-Waters Communications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Sch. 2-1</w:t>
      </w:r>
    </w:p>
    <w:p>
      <w:pPr>
        <w:sectPr>
          <w:pgSz w:w="11900" w:h="16838" w:orient="portrait"/>
          <w:cols w:equalWidth="0" w:num="1">
            <w:col w:w="10019"/>
          </w:cols>
          <w:pgMar w:left="440" w:top="270" w:right="1440" w:bottom="1440" w:gutter="0" w:footer="0" w:header="0"/>
        </w:sectPr>
      </w:pPr>
    </w:p>
    <w:bookmarkStart w:id="237" w:name="page238"/>
    <w:bookmarkEnd w:id="237"/>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color w:val="auto"/>
        </w:rPr>
        <w:t>List of Lock-Up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Sch. 3-1</w:t>
      </w:r>
    </w:p>
    <w:p>
      <w:pPr>
        <w:sectPr>
          <w:pgSz w:w="11900" w:h="16838" w:orient="portrait"/>
          <w:cols w:equalWidth="0" w:num="1">
            <w:col w:w="10019"/>
          </w:cols>
          <w:pgMar w:left="440" w:top="270" w:right="1440" w:bottom="1440" w:gutter="0" w:footer="0" w:header="0"/>
        </w:sectPr>
      </w:pPr>
    </w:p>
    <w:bookmarkStart w:id="238" w:name="page239"/>
    <w:bookmarkEnd w:id="238"/>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Representative’s Warrant Agreement</w:t>
      </w:r>
    </w:p>
    <w:p>
      <w:pPr>
        <w:spacing w:after="0" w:line="229" w:lineRule="exact"/>
        <w:rPr>
          <w:sz w:val="20"/>
          <w:szCs w:val="20"/>
          <w:color w:val="auto"/>
        </w:rPr>
      </w:pPr>
    </w:p>
    <w:p>
      <w:pPr>
        <w:ind w:left="4" w:right="320"/>
        <w:spacing w:after="0" w:line="272" w:lineRule="auto"/>
        <w:rPr>
          <w:sz w:val="20"/>
          <w:szCs w:val="20"/>
          <w:color w:val="auto"/>
        </w:rPr>
      </w:pPr>
      <w:r>
        <w:rPr>
          <w:rFonts w:ascii="Arial" w:cs="Arial" w:eastAsia="Arial" w:hAnsi="Arial"/>
          <w:sz w:val="17"/>
          <w:szCs w:val="17"/>
          <w:color w:val="auto"/>
        </w:rPr>
        <w:t>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THE EFFECTIVE DATE (DEFINED BELOW) TO ANYONE OTHER THAN (I) THINKEQUITY, A DIVISION OF FORDHAM FINANCIAL MANAGEMENT, INC., OR AN UNDERWRITER OR A SELECTED DEALER IN CONNECTION WITH THE OFFERING, OR (II) A BONA FIDE OFFICER OR PARTNER OF THINKEQUITY, A DIVISION OF FORDHAM FINANCIAL MANAGEMENT, INC., OR OF ANY SUCH UNDERWRITER OR SELECTED DEALER.</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PURCHASE WARRANT IS NOT EXERCISABLE PRIOR TO [________________]. VOID AFTER 5:00 P.M., EASTERN TIME,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[___________________] .</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WARRANT TO PURCHASE COMMON STOCK</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CONTEXT THERAPEUTICS INC.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Warrant Shares: _______</w:t>
      </w:r>
    </w:p>
    <w:p>
      <w:pPr>
        <w:spacing w:after="0" w:line="225" w:lineRule="exact"/>
        <w:rPr>
          <w:sz w:val="20"/>
          <w:szCs w:val="20"/>
          <w:color w:val="auto"/>
        </w:rPr>
      </w:pPr>
    </w:p>
    <w:p>
      <w:pPr>
        <w:ind w:left="8444"/>
        <w:spacing w:after="0"/>
        <w:rPr>
          <w:sz w:val="20"/>
          <w:szCs w:val="20"/>
          <w:color w:val="auto"/>
        </w:rPr>
      </w:pPr>
      <w:r>
        <w:rPr>
          <w:rFonts w:ascii="Arial" w:cs="Arial" w:eastAsia="Arial" w:hAnsi="Arial"/>
          <w:sz w:val="16"/>
          <w:szCs w:val="16"/>
          <w:color w:val="auto"/>
        </w:rPr>
        <w:t>Initial Exercise Date: ______, 2021</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THIS WARRANT TO PURCHASE COMMON STOCK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 or its assigns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____,</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2021 (the “</w:t>
      </w:r>
      <w:r>
        <w:rPr>
          <w:rFonts w:ascii="Arial" w:cs="Arial" w:eastAsia="Arial" w:hAnsi="Arial"/>
          <w:sz w:val="17"/>
          <w:szCs w:val="17"/>
          <w:u w:val="single" w:color="auto"/>
          <w:color w:val="auto"/>
        </w:rPr>
        <w:t>Initial Exercise Date</w:t>
      </w:r>
      <w:r>
        <w:rPr>
          <w:rFonts w:ascii="Arial" w:cs="Arial" w:eastAsia="Arial" w:hAnsi="Arial"/>
          <w:sz w:val="17"/>
          <w:szCs w:val="17"/>
          <w:color w:val="auto"/>
        </w:rPr>
        <w:t>”) and, in accordance with FINRA Rule 5110(f)(2)(G)(i), prior to 5:00 p.m. (New York time) on the date that is five</w:t>
      </w:r>
    </w:p>
    <w:p>
      <w:pPr>
        <w:spacing w:after="0" w:line="21" w:lineRule="exact"/>
        <w:rPr>
          <w:sz w:val="20"/>
          <w:szCs w:val="20"/>
          <w:color w:val="auto"/>
        </w:rPr>
      </w:pPr>
    </w:p>
    <w:p>
      <w:pPr>
        <w:ind w:left="4" w:right="40" w:hanging="4"/>
        <w:spacing w:after="0" w:line="253" w:lineRule="auto"/>
        <w:tabs>
          <w:tab w:leader="none" w:pos="2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years following the Effective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but not thereafter, to subscribe for and purchase from Context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up to ______ shares of Common Stock, par value $0.001] per share, of the Company (the “</w:t>
      </w:r>
      <w:r>
        <w:rPr>
          <w:rFonts w:ascii="Arial" w:cs="Arial" w:eastAsia="Arial" w:hAnsi="Arial"/>
          <w:sz w:val="18"/>
          <w:szCs w:val="18"/>
          <w:u w:val="single" w:color="auto"/>
          <w:color w:val="auto"/>
        </w:rPr>
        <w:t>Warrant Shares</w:t>
      </w:r>
      <w:r>
        <w:rPr>
          <w:rFonts w:ascii="Arial" w:cs="Arial" w:eastAsia="Arial" w:hAnsi="Arial"/>
          <w:sz w:val="18"/>
          <w:szCs w:val="18"/>
          <w:color w:val="auto"/>
        </w:rPr>
        <w:t>”), as subject to adjustment hereunder. The purchase price of one share of Common Stock under this Warrant shall be equal to the Exercise Price, as defined in Section 2(b).</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In addition to the terms defined elsewhere in this Agreement, the following terms have the meanings indicated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w:t>
      </w:r>
    </w:p>
    <w:p>
      <w:pPr>
        <w:spacing w:after="0" w:line="103" w:lineRule="exact"/>
        <w:rPr>
          <w:sz w:val="20"/>
          <w:szCs w:val="20"/>
          <w:color w:val="auto"/>
        </w:rPr>
      </w:pPr>
    </w:p>
    <w:p>
      <w:pPr>
        <w:ind w:left="444"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024"/>
          </w:cols>
          <w:pgMar w:left="436" w:top="270" w:right="439" w:bottom="1440" w:gutter="0" w:footer="0" w:header="0"/>
        </w:sectPr>
      </w:pPr>
    </w:p>
    <w:bookmarkStart w:id="239" w:name="page240"/>
    <w:bookmarkEnd w:id="239"/>
    <w:p>
      <w:pPr>
        <w:ind w:right="20" w:firstLine="42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1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of the registration statement on Form S-1 (File No. [XXX-XXXXXX]), including any related prospectus or prospectuses, for the registration of the Company’s common stock, par value [$0.0001] per share and the Warrant Shares under the Securities Act, that the Company has filed with the Commission.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right="6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New York Stock Exchange is open for trading.</w:t>
      </w:r>
    </w:p>
    <w:p>
      <w:pPr>
        <w:spacing w:after="0" w:line="117" w:lineRule="exact"/>
        <w:rPr>
          <w:sz w:val="20"/>
          <w:szCs w:val="20"/>
          <w:color w:val="auto"/>
        </w:rPr>
      </w:pPr>
    </w:p>
    <w:p>
      <w:pPr>
        <w:ind w:right="12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6" w:lineRule="exact"/>
        <w:rPr>
          <w:sz w:val="20"/>
          <w:szCs w:val="20"/>
          <w:color w:val="auto"/>
        </w:rPr>
      </w:pPr>
    </w:p>
    <w:p>
      <w:pPr>
        <w:ind w:firstLine="42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a share of Common Stock for such date (or the nearest preceding date) on the OTCQB or OTCQX as applicable, (c) if Common Stock is not then listed or quoted for trading on the OTCQB or OTCQX and if prices for Common Stock are then reported in the “Pink Sheets” published by OTC Markets Group, Inc. (or a similar organization or agency succeeding to its functions of reporting prices), the most recent bid price per share of Common Stock so reported, or (d) in all other cases, the fair market value of the Common Stock as determined by an independent appraiser selected in good faith by the Holder and reasonably acceptable to the Company, the fees and expenses of which shall be paid by the Company.</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0560"/>
          </w:cols>
          <w:pgMar w:left="880" w:top="274" w:right="459" w:bottom="1440" w:gutter="0" w:footer="0" w:header="0"/>
        </w:sectPr>
      </w:pPr>
    </w:p>
    <w:bookmarkStart w:id="240" w:name="page241"/>
    <w:bookmarkEnd w:id="240"/>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left="440" w:right="20" w:firstLine="423"/>
        <w:spacing w:after="0" w:line="285" w:lineRule="auto"/>
        <w:rPr>
          <w:sz w:val="20"/>
          <w:szCs w:val="20"/>
          <w:color w:val="auto"/>
        </w:rPr>
      </w:pPr>
      <w:r>
        <w:rPr>
          <w:rFonts w:ascii="Arial" w:cs="Arial" w:eastAsia="Arial" w:hAnsi="Arial"/>
          <w:sz w:val="16"/>
          <w:szCs w:val="16"/>
          <w:color w:val="auto"/>
        </w:rPr>
        <w:t xml:space="preserve">a)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e-mail attachment) of the Notice of Exercise Form annexed hereto. Within two (2) Trading Days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two (2) Business Days of receipt of such notice. </w:t>
      </w:r>
      <w:r>
        <w:rPr>
          <w:rFonts w:ascii="Arial" w:cs="Arial" w:eastAsia="Arial" w:hAnsi="Arial"/>
          <w:sz w:val="16"/>
          <w:szCs w:val="16"/>
          <w:b w:val="1"/>
          <w:bCs w:val="1"/>
          <w:color w:val="auto"/>
        </w:rPr>
        <w:t>The Holder and any assignee, by acceptance of this Warrant, acknowledge and agree</w:t>
      </w:r>
      <w:r>
        <w:rPr>
          <w:rFonts w:ascii="Arial" w:cs="Arial" w:eastAsia="Arial" w:hAnsi="Arial"/>
          <w:sz w:val="16"/>
          <w:szCs w:val="16"/>
          <w:color w:val="auto"/>
        </w:rPr>
        <w:t xml:space="preserve"> </w:t>
      </w:r>
      <w:r>
        <w:rPr>
          <w:rFonts w:ascii="Arial" w:cs="Arial" w:eastAsia="Arial" w:hAnsi="Arial"/>
          <w:sz w:val="16"/>
          <w:szCs w:val="16"/>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per share of the Common Stock under this Warrant shall be </w:t>
      </w:r>
      <w:r>
        <w:rPr>
          <w:rFonts w:ascii="Arial" w:cs="Arial" w:eastAsia="Arial" w:hAnsi="Arial"/>
          <w:sz w:val="17"/>
          <w:szCs w:val="17"/>
          <w:b w:val="1"/>
          <w:bCs w:val="1"/>
          <w:color w:val="auto"/>
        </w:rPr>
        <w:t>$_______</w:t>
      </w:r>
      <w:r>
        <w:rPr>
          <w:rFonts w:ascii="Arial" w:cs="Arial" w:eastAsia="Arial" w:hAnsi="Arial"/>
          <w:sz w:val="14"/>
          <w:szCs w:val="14"/>
          <w:color w:val="auto"/>
        </w:rPr>
        <w:t>1</w:t>
      </w:r>
      <w:r>
        <w:rPr>
          <w:rFonts w:ascii="Arial" w:cs="Arial" w:eastAsia="Arial" w:hAnsi="Arial"/>
          <w:sz w:val="17"/>
          <w:szCs w:val="17"/>
          <w:color w:val="auto"/>
        </w:rPr>
        <w:t>, subject to adjustment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03" w:lineRule="exact"/>
        <w:rPr>
          <w:sz w:val="20"/>
          <w:szCs w:val="20"/>
          <w:color w:val="auto"/>
        </w:rPr>
      </w:pPr>
    </w:p>
    <w:p>
      <w:pPr>
        <w:jc w:val="both"/>
        <w:ind w:left="440" w:right="80" w:firstLine="423"/>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Cashless Exercise</w:t>
      </w:r>
      <w:r>
        <w:rPr>
          <w:rFonts w:ascii="Arial" w:cs="Arial" w:eastAsia="Arial" w:hAnsi="Arial"/>
          <w:sz w:val="16"/>
          <w:szCs w:val="16"/>
          <w:color w:val="auto"/>
        </w:rPr>
        <w:t>. In lieu of exercising this Warrant by delivering the aggregate Exercise Price by wire transfer or cashier’s check, at the election of the Holder this Warrant may also be exercised, in whole or in part, at such time by means of a “cashless exercise” in which the Holder shall be entitled to receive the number of Warrant Shares equal to the quotient obtained by dividing [(A-B) (X)] by (A), where:</w:t>
      </w:r>
    </w:p>
    <w:p>
      <w:pPr>
        <w:spacing w:after="0" w:line="54" w:lineRule="exact"/>
        <w:rPr>
          <w:sz w:val="20"/>
          <w:szCs w:val="20"/>
          <w:color w:val="auto"/>
        </w:rPr>
      </w:pPr>
    </w:p>
    <w:p>
      <w:pPr>
        <w:ind w:left="1420" w:hanging="431"/>
        <w:spacing w:after="0" w:line="271" w:lineRule="auto"/>
        <w:rPr>
          <w:sz w:val="20"/>
          <w:szCs w:val="20"/>
          <w:color w:val="auto"/>
        </w:rPr>
      </w:pPr>
      <w:r>
        <w:rPr>
          <w:rFonts w:ascii="Arial" w:cs="Arial" w:eastAsia="Arial" w:hAnsi="Arial"/>
          <w:sz w:val="17"/>
          <w:szCs w:val="17"/>
          <w:color w:val="auto"/>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the VWAP on the Trading Day immediately preceding the date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715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125% of the public offering price per share of common stock and warrant in the offering.</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0980"/>
          </w:cols>
          <w:pgMar w:left="440" w:top="274" w:right="479" w:bottom="1440" w:gutter="0" w:footer="0" w:header="0"/>
        </w:sectPr>
      </w:pPr>
    </w:p>
    <w:bookmarkStart w:id="241" w:name="page242"/>
    <w:bookmarkEnd w:id="241"/>
    <w:p>
      <w:pPr>
        <w:ind w:left="98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and such Notice of Exercise is both executed and delivered pursuant to Section 2(a) hereof after the close of “regular trading hours” on such Trading Day;</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 = the Exercise Price of this Warrant, as adjusted hereunder; and</w:t>
      </w:r>
    </w:p>
    <w:p>
      <w:pPr>
        <w:spacing w:after="0" w:line="131" w:lineRule="exact"/>
        <w:rPr>
          <w:sz w:val="20"/>
          <w:szCs w:val="20"/>
          <w:color w:val="auto"/>
        </w:rPr>
      </w:pPr>
    </w:p>
    <w:p>
      <w:pPr>
        <w:ind w:left="980" w:right="240" w:hanging="439"/>
        <w:spacing w:after="0" w:line="277" w:lineRule="auto"/>
        <w:tabs>
          <w:tab w:leader="none" w:pos="8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62" w:lineRule="exact"/>
        <w:rPr>
          <w:sz w:val="20"/>
          <w:szCs w:val="20"/>
          <w:color w:val="auto"/>
        </w:rPr>
      </w:pPr>
    </w:p>
    <w:p>
      <w:pPr>
        <w:ind w:right="100" w:firstLine="423"/>
        <w:spacing w:after="0" w:line="259"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Warrants being exercised may be tacked on to the holding period of the Warrant Shares. The Company agrees not to take any position contrary to this Section 2(c).</w:t>
      </w:r>
    </w:p>
    <w:p>
      <w:pPr>
        <w:spacing w:after="0" w:line="79"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62" w:lineRule="exact"/>
        <w:rPr>
          <w:sz w:val="20"/>
          <w:szCs w:val="20"/>
          <w:color w:val="auto"/>
        </w:rPr>
      </w:pPr>
    </w:p>
    <w:p>
      <w:pPr>
        <w:ind w:left="620" w:hanging="201"/>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firstLine="1311"/>
        <w:spacing w:after="0" w:line="285" w:lineRule="auto"/>
        <w:tabs>
          <w:tab w:leader="none" w:pos="1983"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its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and, in either case, the Warrant Shares have been sold by the Holder prior to the Warrant Share Delivery Date (as defined below),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two (2) Trading Days after the delivery to the Company of the Notice of Exercise (such date, the “</w:t>
      </w:r>
      <w:r>
        <w:rPr>
          <w:rFonts w:ascii="Arial" w:cs="Arial" w:eastAsia="Arial" w:hAnsi="Arial"/>
          <w:sz w:val="16"/>
          <w:szCs w:val="16"/>
          <w:u w:val="single" w:color="auto"/>
          <w:color w:val="auto"/>
        </w:rPr>
        <w:t>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 Delivery Date</w:t>
      </w:r>
      <w:r>
        <w:rPr>
          <w:rFonts w:ascii="Arial" w:cs="Arial" w:eastAsia="Arial" w:hAnsi="Arial"/>
          <w:sz w:val="16"/>
          <w:szCs w:val="16"/>
          <w:color w:val="auto"/>
        </w:rPr>
        <w:t>”). If the Warrant Shares can be delivered via DWAC, the transfer agent shall have received from the Company, at the expense of the Company, any legal opinions or other documentation required by it to deliver such Warrant Shares without legend (subject to receipt by the Company of reasonable back up documentation from the Holder, including with respect to affiliate status) and, if applicable and requested by the Company prior to the Warrant Share Delivery Date, the transfer agent shall have received from the Holder a confirmation of sale of the Warrant Shares (provided the requirement of the Holder to provide a confirmation as to the sale of Warrant Shares shall not be applicable to the issuance of unlegended Warrant Shares upon a cashless exercise of this Warrant if the Warrant Shares are then eligible for resale pursuant to Rule 144(b)(1)).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A-4</w:t>
      </w:r>
    </w:p>
    <w:p>
      <w:pPr>
        <w:sectPr>
          <w:pgSz w:w="11900" w:h="16838" w:orient="portrait"/>
          <w:cols w:equalWidth="0" w:num="1">
            <w:col w:w="10560"/>
          </w:cols>
          <w:pgMar w:left="880" w:top="274" w:right="459" w:bottom="1440" w:gutter="0" w:footer="0" w:header="0"/>
        </w:sectPr>
      </w:pPr>
    </w:p>
    <w:bookmarkStart w:id="242" w:name="page243"/>
    <w:bookmarkEnd w:id="242"/>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and all taxes required to be paid by the Holder, if any, pursuant to Section 2(d)(vi) prior to the issuance of such shares, having been paid. If the Company fails for any reason to deliver to the Holder the Warrant Shares subject to a Notice of Exercise by the second Trading Day following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the second Trading Day following such Warrant Share Delivery Date until such Warrant Shares are delivered or Holder rescinds such exercise.</w:t>
      </w:r>
    </w:p>
    <w:p>
      <w:pPr>
        <w:spacing w:after="0" w:line="69" w:lineRule="exact"/>
        <w:rPr>
          <w:sz w:val="20"/>
          <w:szCs w:val="20"/>
          <w:color w:val="auto"/>
        </w:rPr>
      </w:pPr>
    </w:p>
    <w:p>
      <w:pPr>
        <w:ind w:right="40" w:firstLine="1311"/>
        <w:spacing w:after="0" w:line="259" w:lineRule="auto"/>
        <w:tabs>
          <w:tab w:leader="none" w:pos="1493"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8" w:lineRule="exact"/>
        <w:rPr>
          <w:rFonts w:ascii="Arial" w:cs="Arial" w:eastAsia="Arial" w:hAnsi="Arial"/>
          <w:sz w:val="18"/>
          <w:szCs w:val="18"/>
          <w:color w:val="auto"/>
        </w:rPr>
      </w:pPr>
    </w:p>
    <w:p>
      <w:pPr>
        <w:ind w:firstLine="1311"/>
        <w:spacing w:after="0" w:line="255" w:lineRule="auto"/>
        <w:tabs>
          <w:tab w:leader="none" w:pos="1543"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xml:space="preserve">. If the Company fails to cause its transfer agent to deliver to the Holder the Warrant Shares pursuant to Section 2(d)(i) by the Warrant Share Delivery Date, then the Holder will have the right to rescind such exercise;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Holder shall be required to return any Warrant Shares or Common Stock subject to any such rescinded exercise notice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84" w:lineRule="exact"/>
        <w:rPr>
          <w:rFonts w:ascii="Arial" w:cs="Arial" w:eastAsia="Arial" w:hAnsi="Arial"/>
          <w:sz w:val="18"/>
          <w:szCs w:val="18"/>
          <w:color w:val="auto"/>
        </w:rPr>
      </w:pPr>
    </w:p>
    <w:p>
      <w:pPr>
        <w:ind w:firstLine="1311"/>
        <w:spacing w:after="0" w:line="285" w:lineRule="auto"/>
        <w:tabs>
          <w:tab w:leader="none" w:pos="1521"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its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w:t>
      </w:r>
    </w:p>
    <w:p>
      <w:pPr>
        <w:spacing w:after="0" w:line="1" w:lineRule="exact"/>
        <w:rPr>
          <w:rFonts w:ascii="Arial" w:cs="Arial" w:eastAsia="Arial" w:hAnsi="Arial"/>
          <w:sz w:val="16"/>
          <w:szCs w:val="16"/>
          <w:color w:val="auto"/>
        </w:rPr>
      </w:pPr>
    </w:p>
    <w:p>
      <w:pPr>
        <w:ind w:right="40" w:firstLine="7"/>
        <w:spacing w:after="0" w:line="270" w:lineRule="auto"/>
        <w:tabs>
          <w:tab w:leader="none" w:pos="29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w:t>
      </w:r>
    </w:p>
    <w:p>
      <w:pPr>
        <w:spacing w:after="0" w:line="1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 A-5</w:t>
      </w:r>
    </w:p>
    <w:p>
      <w:pPr>
        <w:sectPr>
          <w:pgSz w:w="11900" w:h="16838" w:orient="portrait"/>
          <w:cols w:equalWidth="0" w:num="1">
            <w:col w:w="10000"/>
          </w:cols>
          <w:pgMar w:left="1420" w:top="274" w:right="479" w:bottom="1440" w:gutter="0" w:footer="0" w:header="0"/>
        </w:sectPr>
      </w:pPr>
    </w:p>
    <w:bookmarkStart w:id="243" w:name="page244"/>
    <w:bookmarkEnd w:id="24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70" w:lineRule="exact"/>
        <w:rPr>
          <w:sz w:val="20"/>
          <w:szCs w:val="20"/>
          <w:color w:val="auto"/>
        </w:rPr>
      </w:pPr>
    </w:p>
    <w:p>
      <w:pPr>
        <w:ind w:right="100" w:firstLine="1303"/>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9" w:lineRule="exact"/>
        <w:rPr>
          <w:sz w:val="20"/>
          <w:szCs w:val="20"/>
          <w:color w:val="auto"/>
        </w:rPr>
      </w:pPr>
    </w:p>
    <w:p>
      <w:pPr>
        <w:ind w:right="20" w:firstLine="1311"/>
        <w:spacing w:after="0" w:line="290" w:lineRule="auto"/>
        <w:tabs>
          <w:tab w:leader="none" w:pos="153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stock transfer and/or stamp taxes in respect of the issuance of such Warrant Shares, all of which transfer and/or stamp taxes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57" w:lineRule="exact"/>
        <w:rPr>
          <w:rFonts w:ascii="Arial" w:cs="Arial" w:eastAsia="Arial" w:hAnsi="Arial"/>
          <w:sz w:val="16"/>
          <w:szCs w:val="16"/>
          <w:color w:val="auto"/>
        </w:rPr>
      </w:pPr>
    </w:p>
    <w:p>
      <w:pPr>
        <w:ind w:right="220" w:firstLine="1311"/>
        <w:spacing w:after="0" w:line="277" w:lineRule="auto"/>
        <w:tabs>
          <w:tab w:leader="none" w:pos="1583"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62" w:lineRule="exact"/>
        <w:rPr>
          <w:rFonts w:ascii="Arial" w:cs="Arial" w:eastAsia="Arial" w:hAnsi="Arial"/>
          <w:sz w:val="18"/>
          <w:szCs w:val="18"/>
          <w:color w:val="auto"/>
        </w:rPr>
      </w:pPr>
    </w:p>
    <w:p>
      <w:pPr>
        <w:ind w:right="240" w:firstLine="1311"/>
        <w:spacing w:after="0" w:line="273" w:lineRule="auto"/>
        <w:tabs>
          <w:tab w:leader="none" w:pos="1633"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Signature</w:t>
      </w:r>
      <w:r>
        <w:rPr>
          <w:rFonts w:ascii="Arial" w:cs="Arial" w:eastAsia="Arial" w:hAnsi="Arial"/>
          <w:sz w:val="17"/>
          <w:szCs w:val="17"/>
          <w:color w:val="auto"/>
        </w:rPr>
        <w:t>. This Section 2 and the exercise form attached hereto set forth the totality of the procedures required of the Holder in order to exercise this Purchase Warrant. Without limiting the preceding sentences, no ink-original exercise form shall be required, nor shall any medallion guarantee (or other type of guarantee or notarization) of any exercise form be required in order to exercise this Purchase Warrant. No additional legal opinion, other information or instructions shall be required of the Holder to exercise this Purchase Warrant. The Company shall honor exercises of this Purchase Warrant and shall deliver Shares underlying this Purchase Warrant in accordance with the terms, conditions and time periods set forth herein.</w:t>
      </w:r>
    </w:p>
    <w:p>
      <w:pPr>
        <w:spacing w:after="0" w:line="11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 A-6</w:t>
      </w:r>
    </w:p>
    <w:p>
      <w:pPr>
        <w:sectPr>
          <w:pgSz w:w="11900" w:h="16838" w:orient="portrait"/>
          <w:cols w:equalWidth="0" w:num="1">
            <w:col w:w="10020"/>
          </w:cols>
          <w:pgMar w:left="1420" w:top="274" w:right="459" w:bottom="1440" w:gutter="0" w:footer="0" w:header="0"/>
        </w:sectPr>
      </w:pPr>
    </w:p>
    <w:bookmarkStart w:id="244" w:name="page245"/>
    <w:bookmarkEnd w:id="244"/>
    <w:p>
      <w:pPr>
        <w:ind w:firstLine="419"/>
        <w:spacing w:after="0" w:line="283" w:lineRule="auto"/>
        <w:tabs>
          <w:tab w:leader="none" w:pos="608"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w:t>
      </w:r>
      <w:r>
        <w:rPr>
          <w:rFonts w:ascii="Arial" w:cs="Arial" w:eastAsia="Arial" w:hAnsi="Arial"/>
          <w:sz w:val="16"/>
          <w:szCs w:val="16"/>
          <w:color w:val="auto"/>
        </w:rPr>
        <w:t>” shall be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w:t>
      </w:r>
    </w:p>
    <w:p>
      <w:pPr>
        <w:spacing w:after="0" w:line="33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A-7</w:t>
      </w:r>
    </w:p>
    <w:p>
      <w:pPr>
        <w:sectPr>
          <w:pgSz w:w="11900" w:h="16838" w:orient="portrait"/>
          <w:cols w:equalWidth="0" w:num="1">
            <w:col w:w="10560"/>
          </w:cols>
          <w:pgMar w:left="880" w:top="274" w:right="459" w:bottom="1440" w:gutter="0" w:footer="0" w:header="0"/>
        </w:sectPr>
      </w:pPr>
    </w:p>
    <w:bookmarkStart w:id="245" w:name="page246"/>
    <w:bookmarkEnd w:id="24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this Warrant held by the Holder and the provisions of this Section 2(e) shall continue to apply. Any increase in the Beneficial Ownership Limitation will not be effective until the 61</w:t>
      </w:r>
      <w:r>
        <w:rPr>
          <w:rFonts w:ascii="Arial" w:cs="Arial" w:eastAsia="Arial" w:hAnsi="Arial"/>
          <w:sz w:val="15"/>
          <w:szCs w:val="15"/>
          <w:color w:val="auto"/>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68" w:lineRule="auto"/>
        <w:tabs>
          <w:tab w:leader="none" w:pos="60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purposes of clarification, the Exercise Price of this Warrant will not be adjusted in the event that the Company or any Subsidiary thereof, as applicable, sells or grants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w:t>
      </w:r>
    </w:p>
    <w:p>
      <w:pPr>
        <w:spacing w:after="0" w:line="73" w:lineRule="exact"/>
        <w:rPr>
          <w:rFonts w:ascii="Arial" w:cs="Arial" w:eastAsia="Arial" w:hAnsi="Arial"/>
          <w:sz w:val="17"/>
          <w:szCs w:val="17"/>
          <w:color w:val="auto"/>
        </w:rPr>
      </w:pPr>
    </w:p>
    <w:p>
      <w:pPr>
        <w:ind w:left="620" w:hanging="201"/>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20" w:firstLine="419"/>
        <w:spacing w:after="0" w:line="269" w:lineRule="auto"/>
        <w:tabs>
          <w:tab w:leader="none" w:pos="60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A-8</w:t>
      </w:r>
    </w:p>
    <w:p>
      <w:pPr>
        <w:sectPr>
          <w:pgSz w:w="11900" w:h="16838" w:orient="portrait"/>
          <w:cols w:equalWidth="0" w:num="1">
            <w:col w:w="10560"/>
          </w:cols>
          <w:pgMar w:left="880" w:top="274" w:right="459" w:bottom="1440" w:gutter="0" w:footer="0" w:header="0"/>
        </w:sectPr>
      </w:pPr>
    </w:p>
    <w:bookmarkStart w:id="246" w:name="page247"/>
    <w:bookmarkEnd w:id="246"/>
    <w:p>
      <w:pPr>
        <w:ind w:right="20" w:firstLine="419"/>
        <w:spacing w:after="0" w:line="268" w:lineRule="auto"/>
        <w:tabs>
          <w:tab w:leader="none" w:pos="618"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Rata Distributions</w:t>
      </w:r>
      <w:r>
        <w:rPr>
          <w:rFonts w:ascii="Arial" w:cs="Arial" w:eastAsia="Arial" w:hAnsi="Arial"/>
          <w:sz w:val="17"/>
          <w:szCs w:val="17"/>
          <w:color w:val="auto"/>
        </w:rPr>
        <w:t>. During such time as this Warrant is outstanding, if the Company shall declare or make any dividend (other than cash dividends) or other distribution of its assets (or rights to acquire its assets) to holders of shares of Common Stock, by way of return of capital or otherwise (including, without limitation, any distribution of shares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73" w:lineRule="exact"/>
        <w:rPr>
          <w:rFonts w:ascii="Arial" w:cs="Arial" w:eastAsia="Arial" w:hAnsi="Arial"/>
          <w:sz w:val="17"/>
          <w:szCs w:val="17"/>
          <w:color w:val="auto"/>
        </w:rPr>
      </w:pPr>
    </w:p>
    <w:p>
      <w:pPr>
        <w:ind w:firstLine="419"/>
        <w:spacing w:after="0" w:line="285" w:lineRule="auto"/>
        <w:tabs>
          <w:tab w:leader="none" w:pos="608"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by</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A-9</w:t>
      </w:r>
    </w:p>
    <w:p>
      <w:pPr>
        <w:sectPr>
          <w:pgSz w:w="11900" w:h="16838" w:orient="portrait"/>
          <w:cols w:equalWidth="0" w:num="1">
            <w:col w:w="10560"/>
          </w:cols>
          <w:pgMar w:left="880" w:top="274" w:right="459" w:bottom="1440" w:gutter="0" w:footer="0" w:header="0"/>
        </w:sectPr>
      </w:pPr>
    </w:p>
    <w:bookmarkStart w:id="247" w:name="page248"/>
    <w:bookmarkEnd w:id="2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Common Stock as a result of such Fundamental Transaction for each share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70" w:lineRule="exact"/>
        <w:rPr>
          <w:sz w:val="20"/>
          <w:szCs w:val="20"/>
          <w:color w:val="auto"/>
        </w:rPr>
      </w:pPr>
    </w:p>
    <w:p>
      <w:pPr>
        <w:ind w:right="40" w:firstLine="419"/>
        <w:spacing w:after="0" w:line="263" w:lineRule="auto"/>
        <w:tabs>
          <w:tab w:leader="none" w:pos="58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75" w:lineRule="exact"/>
        <w:rPr>
          <w:rFonts w:ascii="Arial" w:cs="Arial" w:eastAsia="Arial" w:hAnsi="Arial"/>
          <w:sz w:val="18"/>
          <w:szCs w:val="18"/>
          <w:color w:val="auto"/>
        </w:rPr>
      </w:pPr>
    </w:p>
    <w:p>
      <w:pPr>
        <w:ind w:left="620" w:hanging="201"/>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40" w:right="60" w:firstLine="1311"/>
        <w:spacing w:after="0" w:line="286" w:lineRule="auto"/>
        <w:tabs>
          <w:tab w:leader="none" w:pos="1983"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w:t>
      </w:r>
      <w:r>
        <w:rPr>
          <w:rFonts w:ascii="Arial" w:cs="Arial" w:eastAsia="Arial" w:hAnsi="Arial"/>
          <w:sz w:val="17"/>
          <w:szCs w:val="17"/>
          <w:color w:val="auto"/>
        </w:rPr>
        <w:t>.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Ex. A-10</w:t>
      </w:r>
    </w:p>
    <w:p>
      <w:pPr>
        <w:sectPr>
          <w:pgSz w:w="11900" w:h="16838" w:orient="portrait"/>
          <w:cols w:equalWidth="0" w:num="1">
            <w:col w:w="10540"/>
          </w:cols>
          <w:pgMar w:left="880" w:top="274" w:right="479" w:bottom="1440" w:gutter="0" w:footer="0" w:header="0"/>
        </w:sectPr>
      </w:pPr>
    </w:p>
    <w:bookmarkStart w:id="248" w:name="page249"/>
    <w:bookmarkEnd w:id="248"/>
    <w:p>
      <w:pPr>
        <w:ind w:left="540" w:firstLine="1311"/>
        <w:spacing w:after="0" w:line="284" w:lineRule="auto"/>
        <w:tabs>
          <w:tab w:leader="none" w:pos="203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a notice to the Holder at its last address as it shall appear upon the Warrant Register of the Company, at least 20 calendar days prior to the applicable record or effective date hereinafter specified,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provide such notice or any defect therein shall not affect the validity of the corporate action required to be specified in such notice. A public announcement or filing containing the information required by this Section 3(g)(ii) shall suffice as sufficient notice under this Section 3(g)(ii). To the extent that any notice provided hereunder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117" w:lineRule="exact"/>
        <w:rPr>
          <w:sz w:val="20"/>
          <w:szCs w:val="20"/>
          <w:color w:val="auto"/>
        </w:rPr>
      </w:pPr>
    </w:p>
    <w:p>
      <w:pPr>
        <w:ind w:right="180" w:firstLine="419"/>
        <w:spacing w:after="0" w:line="301" w:lineRule="auto"/>
        <w:tabs>
          <w:tab w:leader="none" w:pos="608"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49" w:lineRule="exact"/>
        <w:rPr>
          <w:rFonts w:ascii="Arial" w:cs="Arial" w:eastAsia="Arial" w:hAnsi="Arial"/>
          <w:sz w:val="16"/>
          <w:szCs w:val="16"/>
          <w:color w:val="auto"/>
        </w:rPr>
      </w:pPr>
    </w:p>
    <w:p>
      <w:pPr>
        <w:ind w:left="1580" w:hanging="130"/>
        <w:spacing w:after="0"/>
        <w:tabs>
          <w:tab w:leader="none" w:pos="15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A-11</w:t>
      </w:r>
    </w:p>
    <w:p>
      <w:pPr>
        <w:sectPr>
          <w:pgSz w:w="11900" w:h="16838" w:orient="portrait"/>
          <w:cols w:equalWidth="0" w:num="1">
            <w:col w:w="10560"/>
          </w:cols>
          <w:pgMar w:left="880" w:top="274" w:right="459" w:bottom="1440" w:gutter="0" w:footer="0" w:header="0"/>
        </w:sectPr>
      </w:pPr>
    </w:p>
    <w:bookmarkStart w:id="249" w:name="page250"/>
    <w:bookmarkEnd w:id="249"/>
    <w:p>
      <w:pPr>
        <w:ind w:left="540" w:right="160" w:firstLine="910"/>
        <w:spacing w:after="0" w:line="277" w:lineRule="auto"/>
        <w:tabs>
          <w:tab w:leader="none" w:pos="16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FINRA member firm participating in the offering and the officers or partners thereof, if all securities so transferred remain subject to the lock-up restriction in this Section 4(a) for the remainder of the time period;</w:t>
      </w:r>
    </w:p>
    <w:p>
      <w:pPr>
        <w:spacing w:after="0" w:line="62" w:lineRule="exact"/>
        <w:rPr>
          <w:rFonts w:ascii="Arial" w:cs="Arial" w:eastAsia="Arial" w:hAnsi="Arial"/>
          <w:sz w:val="18"/>
          <w:szCs w:val="18"/>
          <w:color w:val="auto"/>
        </w:rPr>
      </w:pPr>
    </w:p>
    <w:p>
      <w:pPr>
        <w:ind w:left="540" w:right="620" w:firstLine="910"/>
        <w:spacing w:after="0" w:line="277" w:lineRule="auto"/>
        <w:tabs>
          <w:tab w:leader="none" w:pos="168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Holder or related person do not exceed 1% of the securities being offered;</w:t>
      </w:r>
    </w:p>
    <w:p>
      <w:pPr>
        <w:spacing w:after="0" w:line="62" w:lineRule="exact"/>
        <w:rPr>
          <w:rFonts w:ascii="Arial" w:cs="Arial" w:eastAsia="Arial" w:hAnsi="Arial"/>
          <w:sz w:val="18"/>
          <w:szCs w:val="18"/>
          <w:color w:val="auto"/>
        </w:rPr>
      </w:pPr>
    </w:p>
    <w:p>
      <w:pPr>
        <w:ind w:left="540" w:right="120" w:firstLine="910"/>
        <w:spacing w:after="0" w:line="263" w:lineRule="auto"/>
        <w:tabs>
          <w:tab w:leader="none" w:pos="1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75" w:lineRule="exact"/>
        <w:rPr>
          <w:rFonts w:ascii="Arial" w:cs="Arial" w:eastAsia="Arial" w:hAnsi="Arial"/>
          <w:sz w:val="18"/>
          <w:szCs w:val="18"/>
          <w:color w:val="auto"/>
        </w:rPr>
      </w:pPr>
    </w:p>
    <w:p>
      <w:pPr>
        <w:ind w:left="1620" w:hanging="170"/>
        <w:spacing w:after="0"/>
        <w:tabs>
          <w:tab w:leader="none" w:pos="1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exercise or conversion of any security, if all securities received remain subject to the lock-up restriction in this</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4(a) for the remainder of the time period.</w:t>
      </w:r>
    </w:p>
    <w:p>
      <w:pPr>
        <w:spacing w:after="0" w:line="103" w:lineRule="exact"/>
        <w:rPr>
          <w:sz w:val="20"/>
          <w:szCs w:val="20"/>
          <w:color w:val="auto"/>
        </w:rPr>
      </w:pPr>
    </w:p>
    <w:p>
      <w:pPr>
        <w:ind w:left="540" w:firstLine="401"/>
        <w:spacing w:after="0" w:line="269" w:lineRule="auto"/>
        <w:rPr>
          <w:sz w:val="20"/>
          <w:szCs w:val="20"/>
          <w:color w:val="auto"/>
        </w:rPr>
      </w:pPr>
      <w:r>
        <w:rPr>
          <w:rFonts w:ascii="Arial" w:cs="Arial" w:eastAsia="Arial" w:hAnsi="Arial"/>
          <w:sz w:val="17"/>
          <w:szCs w:val="17"/>
          <w:color w:val="auto"/>
        </w:rPr>
        <w:t>Subject to the foregoing restriction, any applicable securities laws and the conditions set forth in Section 4(d),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71" w:lineRule="exact"/>
        <w:rPr>
          <w:sz w:val="20"/>
          <w:szCs w:val="20"/>
          <w:color w:val="auto"/>
        </w:rPr>
      </w:pPr>
    </w:p>
    <w:p>
      <w:pPr>
        <w:ind w:right="40" w:firstLine="419"/>
        <w:spacing w:after="0" w:line="273" w:lineRule="auto"/>
        <w:tabs>
          <w:tab w:leader="none" w:pos="618"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69" w:lineRule="exact"/>
        <w:rPr>
          <w:rFonts w:ascii="Arial" w:cs="Arial" w:eastAsia="Arial" w:hAnsi="Arial"/>
          <w:sz w:val="17"/>
          <w:szCs w:val="17"/>
          <w:color w:val="auto"/>
        </w:rPr>
      </w:pPr>
    </w:p>
    <w:p>
      <w:pPr>
        <w:ind w:right="20" w:firstLine="419"/>
        <w:spacing w:after="0" w:line="259" w:lineRule="auto"/>
        <w:tabs>
          <w:tab w:leader="none" w:pos="60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A-12</w:t>
      </w:r>
    </w:p>
    <w:p>
      <w:pPr>
        <w:sectPr>
          <w:pgSz w:w="11900" w:h="16838" w:orient="portrait"/>
          <w:cols w:equalWidth="0" w:num="1">
            <w:col w:w="10560"/>
          </w:cols>
          <w:pgMar w:left="880" w:top="274" w:right="459" w:bottom="1440" w:gutter="0" w:footer="0" w:header="0"/>
        </w:sectPr>
      </w:pPr>
    </w:p>
    <w:bookmarkStart w:id="250" w:name="page251"/>
    <w:bookmarkEnd w:id="250"/>
    <w:p>
      <w:pPr>
        <w:ind w:right="80" w:firstLine="419"/>
        <w:spacing w:after="0" w:line="259" w:lineRule="auto"/>
        <w:tabs>
          <w:tab w:leader="none" w:pos="61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 Registration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5.1. Demand Registration</w:t>
      </w:r>
      <w:r>
        <w:rPr>
          <w:rFonts w:ascii="Arial" w:cs="Arial" w:eastAsia="Arial" w:hAnsi="Arial"/>
          <w:sz w:val="18"/>
          <w:szCs w:val="18"/>
          <w:color w:val="auto"/>
        </w:rPr>
        <w:t>.</w:t>
      </w:r>
    </w:p>
    <w:p>
      <w:pPr>
        <w:spacing w:after="0" w:line="117" w:lineRule="exact"/>
        <w:rPr>
          <w:sz w:val="20"/>
          <w:szCs w:val="20"/>
          <w:color w:val="auto"/>
        </w:rPr>
      </w:pPr>
    </w:p>
    <w:p>
      <w:pPr>
        <w:ind w:right="20" w:firstLine="423"/>
        <w:spacing w:after="0" w:line="287" w:lineRule="auto"/>
        <w:rPr>
          <w:sz w:val="20"/>
          <w:szCs w:val="20"/>
          <w:color w:val="auto"/>
        </w:rPr>
      </w:pPr>
      <w:r>
        <w:rPr>
          <w:rFonts w:ascii="Arial" w:cs="Arial" w:eastAsia="Arial" w:hAnsi="Arial"/>
          <w:sz w:val="16"/>
          <w:szCs w:val="16"/>
          <w:color w:val="auto"/>
        </w:rPr>
        <w:t>5.1.1 Grant of Right. The Company, upon written demand (a “Demand Notice”) of the Holder(s) of at least 51% of the Warrants and/or the underlying Warrant Shares (“Majority Holders”), agrees to register, on one occasion, all or any portion of the Warrant Shares underlying the Warrants (collectively, the “Registrable Securities”). On such occasion, the Company will file a registration statement with the Commission covering the Registrable Securities within sixty (60) days after receipt of a Demand Notice and use its reasonable best efforts to have the registration statement declared effective promptly thereafter, subject to compliance with review by the Commission; provided, however, that the Company shall not be required to comply with a Demand Notice if the Company has filed a registration statement with respect to which the Holder is entitled to piggyback registration rights pursuant to Section 5.2 hereof and either: (i) the Holder has elected to participate in the offering covered by such registration statement or (ii) if such registration statement relates to an underwritten primary offering of securities of the Company, until the offering covered by such registration statement has been withdrawn or until thirty (30) days after such offering is consummated. The demand for registration may be made at any time beginning on the Initial Exercise Date and expiring on the fifth anniversary of the Effective Date. The Company covenants and agrees to give written notice of its receipt of any Demand Notice by any Holder(s) to all other registered Holders of the Warrants and/or the Registrable Securities within ten (10) days after the date of the receipt of any such Demand Notice.</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5.1.2 Terms. The Company shall bear all fees and expenses attendant to the registration of the Registrable Securities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5.1.1, but the Holders shall pay any and all underwriting commissions and the expenses of any legal counsel selected by the Holders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 them in connection with the sale of the Registrable Securities. The Company agrees to use its reasonable best efforts to cause the filing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herein to become effective promptly and to qualify or register the Registrable Securities in such States as are reasonably requested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provided, however, that in no event shall the Company be required to register the Registrable Securities in a State in which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would cause: (i) the Company to be obligated to register or license to do business in such State or submit to general service of process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such State, or (ii) the principal shareholders of the Company to be obligated to escrow their shares of capital stock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shall cause any registration statement filed pursuant to the demand right granted under Section 5.1.1 to remain effective for a period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least twelve (12) consecutive months after the date that the Holders of the Registrable Securities covered by such registration statement are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given the opportunity to sell all of such securities. The Holders shall only use the prospectuses provided by the Company to sell the Warrant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covered by such registration statement, and will immediately cease to use any prospectus furnished by the Company if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advises the Holder that such prospectus may no longer be used due to a material misstatement or omission. Notwithstanding the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5.1.2, the Holder shall be entitled to a demand registration under this Section 5.1.2 on only one (1) occasion and such demand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shall terminate on the fifth anniversary of the date of the Underwriting Agreement (as defined below) in accordance with FINRA Rule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5110(f)(2)(G)(iv).</w:t>
      </w: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Ex. A-13</w:t>
      </w:r>
    </w:p>
    <w:p>
      <w:pPr>
        <w:sectPr>
          <w:pgSz w:w="11900" w:h="16838" w:orient="portrait"/>
          <w:cols w:equalWidth="0" w:num="1">
            <w:col w:w="10500"/>
          </w:cols>
          <w:pgMar w:left="880" w:top="274" w:right="519" w:bottom="1440" w:gutter="0" w:footer="0" w:header="0"/>
        </w:sectPr>
      </w:pPr>
    </w:p>
    <w:bookmarkStart w:id="251" w:name="page252"/>
    <w:bookmarkEnd w:id="251"/>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 “Piggy-Back” Registration.</w:t>
      </w:r>
    </w:p>
    <w:p>
      <w:pPr>
        <w:spacing w:after="0" w:line="117" w:lineRule="exact"/>
        <w:rPr>
          <w:sz w:val="20"/>
          <w:szCs w:val="20"/>
          <w:color w:val="auto"/>
        </w:rPr>
      </w:pPr>
    </w:p>
    <w:p>
      <w:pPr>
        <w:ind w:left="4" w:firstLine="423"/>
        <w:spacing w:after="0" w:line="268" w:lineRule="auto"/>
        <w:rPr>
          <w:sz w:val="20"/>
          <w:szCs w:val="20"/>
          <w:color w:val="auto"/>
        </w:rPr>
      </w:pPr>
      <w:r>
        <w:rPr>
          <w:rFonts w:ascii="Arial" w:cs="Arial" w:eastAsia="Arial" w:hAnsi="Arial"/>
          <w:sz w:val="17"/>
          <w:szCs w:val="17"/>
          <w:color w:val="auto"/>
        </w:rPr>
        <w:t>5.2.1 Grant of Right. In addition to the demand right of registration described in Section 5.1 hereof, the Holder shall have the right, for a period of no more than two (2) years from the Initial Exercise Date in accordance with FINRA Rule 5110(f)(2)(G)(v), to include the Registrable Securities as part of any other registration of securities filed by the Company (other than in connection with a transaction contemplated by Rule 145(a) promulgated under the Securities Act or pursuant to Form S-8 or any equivalent form); provided, however, that if, solely in connection with any primary underwritten public offering for the account of the Company, the managing underwriter(s) thereof shall, in its reasonable discretion, impose a limitation on the number of Shares which may be included in the Registration Statement because, in such underwriter(s)’ judgment, marketing or other factors dictate such limitation is necessary to facilitate public distribution, then the Company shall be obligated to include in such Registration Statement only such limited portion of the Registrable Securities with respect to which the Holder requested inclusion hereunder as the underwriter shall reasonably permit. Any exclusion of Registrable Securities shall be made pro rata among the Holders seeking to include Registrable Securities in proportion to the number of Registrable Securities sought to be included by such Holders; provided, however, that the Company shall not exclude any Registrable Securities unless the Company has first excluded all outstanding securities, the holders of which are not entitled to inclusion of such securities in such Registration Statement or are not entitled to pro rata inclusion with the Registrable Securities.</w:t>
      </w:r>
    </w:p>
    <w:p>
      <w:pPr>
        <w:spacing w:after="0" w:line="78" w:lineRule="exact"/>
        <w:rPr>
          <w:sz w:val="20"/>
          <w:szCs w:val="20"/>
          <w:color w:val="auto"/>
        </w:rPr>
      </w:pPr>
    </w:p>
    <w:p>
      <w:pPr>
        <w:ind w:left="4" w:right="60" w:firstLine="423"/>
        <w:spacing w:after="0" w:line="285" w:lineRule="auto"/>
        <w:rPr>
          <w:sz w:val="20"/>
          <w:szCs w:val="20"/>
          <w:color w:val="auto"/>
        </w:rPr>
      </w:pPr>
      <w:r>
        <w:rPr>
          <w:rFonts w:ascii="Arial" w:cs="Arial" w:eastAsia="Arial" w:hAnsi="Arial"/>
          <w:sz w:val="16"/>
          <w:szCs w:val="16"/>
          <w:color w:val="auto"/>
        </w:rPr>
        <w:t>5.2.2 Terms. The Company shall bear all fees and expenses attendant to registering the Registrable Securities pursuant to Section 5.2.1 hereof, but the Holders shall pay any and all underwriting commissions and the expenses of any legal counsel selected by the Holders to represent them in connection with the sale of the Registrable Securities. In the event of such a proposed registration, the Company shall furnish the then Holders of outstanding Registrable Securities with not less than thirty (30) days written notice prior to the proposed date of filing of such registration statement. Such notice to the Holders shall continue to be given for each registration statement filed by the Company during the two</w:t>
      </w:r>
    </w:p>
    <w:p>
      <w:pPr>
        <w:spacing w:after="0" w:line="2" w:lineRule="exact"/>
        <w:rPr>
          <w:sz w:val="20"/>
          <w:szCs w:val="20"/>
          <w:color w:val="auto"/>
        </w:rPr>
      </w:pPr>
    </w:p>
    <w:p>
      <w:pPr>
        <w:jc w:val="both"/>
        <w:ind w:left="4" w:right="80" w:hanging="4"/>
        <w:spacing w:after="0" w:line="253"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year period following the Initial Exercise Date until such time as all of the Registrable Securities have been sold by the Holder. The holders of the Registrable Securities shall exercise the “piggy-back” rights provided for herein by giving written notice within ten (10) days of the receipt of the Company’s notice of its intention to file a registration statement. Except as otherwise provided in this Warrant, there shall be no limit on the number of times the Holder may request registration under this Section 5.2.2; provided, however, that such registration rights shall terminate on the second anniversary of the Initial Exercise Date.</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5.3 General Terms</w:t>
      </w:r>
    </w:p>
    <w:p>
      <w:pPr>
        <w:spacing w:after="0" w:line="117" w:lineRule="exact"/>
        <w:rPr>
          <w:sz w:val="20"/>
          <w:szCs w:val="20"/>
          <w:color w:val="auto"/>
        </w:rPr>
      </w:pPr>
    </w:p>
    <w:p>
      <w:pPr>
        <w:ind w:left="4" w:firstLine="423"/>
        <w:spacing w:after="0" w:line="279" w:lineRule="auto"/>
        <w:rPr>
          <w:sz w:val="20"/>
          <w:szCs w:val="20"/>
          <w:color w:val="auto"/>
        </w:rPr>
      </w:pPr>
      <w:r>
        <w:rPr>
          <w:rFonts w:ascii="Arial" w:cs="Arial" w:eastAsia="Arial" w:hAnsi="Arial"/>
          <w:sz w:val="17"/>
          <w:szCs w:val="17"/>
          <w:color w:val="auto"/>
        </w:rPr>
        <w:t>5.3.1 Indemnification. The Company shall indemnify the Holder(s) of the Registrable Securities to be sold pursuant to any registration statement hereunder and each person, if any, who controls such Holders within the meaning of Section 15 of the Securities Act or Section 20 (a) of the Exchange Act against all loss, claim, damage, expense or liability (including all reasonable attorneys’ fees and other expenses reasonably incurred in investigating, preparing or defending against any claim whatsoever) to which any of them may become subject</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Ex. A-14</w:t>
      </w:r>
    </w:p>
    <w:p>
      <w:pPr>
        <w:sectPr>
          <w:pgSz w:w="11900" w:h="16838" w:orient="portrait"/>
          <w:cols w:equalWidth="0" w:num="1">
            <w:col w:w="10564"/>
          </w:cols>
          <w:pgMar w:left="876" w:top="274" w:right="459" w:bottom="1440" w:gutter="0" w:footer="0" w:header="0"/>
        </w:sectPr>
      </w:pPr>
    </w:p>
    <w:bookmarkStart w:id="252" w:name="page253"/>
    <w:bookmarkEnd w:id="25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Securities Act, the Exchange Act or otherwise, arising from such registration statement but only to the same extent and with the same effect as the provisions pursuant to which the Company has agreed to indemnify the Underwriters contained in Section 5.1 of the Underwriting Agreement between the Underwriters and the Company, dated as of [___], 2021. The Holder(s) of the Registrable Securities to be sold pursuant 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5.2 of the Underwriting Agreement pursuant to which the Underwriters have agreed to indemnify the Company.</w:t>
      </w:r>
    </w:p>
    <w:p>
      <w:pPr>
        <w:spacing w:after="0" w:line="73"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5.3.2 Exercise of Warrants. Nothing contained in this Warrant shall be construed as requiring the Holder(s) to exercise their Warrants prior to or after the initial filing of any registration statement or the effectiveness thereof.</w:t>
      </w:r>
    </w:p>
    <w:p>
      <w:pPr>
        <w:spacing w:after="0" w:line="62" w:lineRule="exact"/>
        <w:rPr>
          <w:sz w:val="20"/>
          <w:szCs w:val="20"/>
          <w:color w:val="auto"/>
        </w:rPr>
      </w:pPr>
    </w:p>
    <w:p>
      <w:pPr>
        <w:ind w:firstLine="423"/>
        <w:spacing w:after="0" w:line="285" w:lineRule="auto"/>
        <w:rPr>
          <w:sz w:val="20"/>
          <w:szCs w:val="20"/>
          <w:color w:val="auto"/>
        </w:rPr>
      </w:pPr>
      <w:r>
        <w:rPr>
          <w:rFonts w:ascii="Arial" w:cs="Arial" w:eastAsia="Arial" w:hAnsi="Arial"/>
          <w:sz w:val="16"/>
          <w:szCs w:val="16"/>
          <w:color w:val="auto"/>
        </w:rPr>
        <w:t>5.3.3 Documents Delivered to Holders. The Company shall furnish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and (ii) a “cold comfort” letter dated the effective date of such registration statement (and, if such registration includes an underwritten public offering, a letter dated the date of the closing under the underwriting agreement) signed by the independent registered public accounting firm which has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each Holder participating in the offering requesting the correspondence and memoranda described below and to the managing underwriter, if any,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w:t>
      </w:r>
    </w:p>
    <w:p>
      <w:pPr>
        <w:spacing w:after="0" w:line="68" w:lineRule="exact"/>
        <w:rPr>
          <w:sz w:val="20"/>
          <w:szCs w:val="20"/>
          <w:color w:val="auto"/>
        </w:rPr>
      </w:pPr>
    </w:p>
    <w:p>
      <w:pPr>
        <w:ind w:right="40" w:firstLine="423"/>
        <w:spacing w:after="0" w:line="275" w:lineRule="auto"/>
        <w:rPr>
          <w:sz w:val="20"/>
          <w:szCs w:val="20"/>
          <w:color w:val="auto"/>
        </w:rPr>
      </w:pPr>
      <w:r>
        <w:rPr>
          <w:rFonts w:ascii="Arial" w:cs="Arial" w:eastAsia="Arial" w:hAnsi="Arial"/>
          <w:sz w:val="17"/>
          <w:szCs w:val="17"/>
          <w:color w:val="auto"/>
        </w:rPr>
        <w:t>5.3.4 Underwriting Agreement. In the event that Registrable Securities are registered pursuant to this Section 5, the Company shall enter into an underwriting agreement with the managing underwriter(s)and such managing underwriter shall be reasonably satisfactory to the Company.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A-15</w:t>
      </w:r>
    </w:p>
    <w:p>
      <w:pPr>
        <w:sectPr>
          <w:pgSz w:w="11900" w:h="16838" w:orient="portrait"/>
          <w:cols w:equalWidth="0" w:num="1">
            <w:col w:w="10560"/>
          </w:cols>
          <w:pgMar w:left="880" w:top="274" w:right="459" w:bottom="1440" w:gutter="0" w:footer="0" w:header="0"/>
        </w:sectPr>
      </w:pPr>
    </w:p>
    <w:bookmarkStart w:id="253" w:name="page254"/>
    <w:bookmarkEnd w:id="253"/>
    <w:p>
      <w:pPr>
        <w:ind w:right="2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Warrant Shares and their intended methods of distribution.</w:t>
      </w:r>
    </w:p>
    <w:p>
      <w:pPr>
        <w:spacing w:after="0" w:line="49" w:lineRule="exact"/>
        <w:rPr>
          <w:sz w:val="20"/>
          <w:szCs w:val="20"/>
          <w:color w:val="auto"/>
        </w:rPr>
      </w:pPr>
    </w:p>
    <w:p>
      <w:pPr>
        <w:ind w:right="440" w:firstLine="423"/>
        <w:spacing w:after="0" w:line="263" w:lineRule="auto"/>
        <w:rPr>
          <w:sz w:val="20"/>
          <w:szCs w:val="20"/>
          <w:color w:val="auto"/>
        </w:rPr>
      </w:pPr>
      <w:r>
        <w:rPr>
          <w:rFonts w:ascii="Arial" w:cs="Arial" w:eastAsia="Arial" w:hAnsi="Arial"/>
          <w:sz w:val="18"/>
          <w:szCs w:val="18"/>
          <w:color w:val="auto"/>
        </w:rPr>
        <w:t>5.3.5 Documents to be Delivered by Holder(s). Each of the Holder(s) participating in any of the foregoing offerings shall furnish to the Company a completed and executed questionnaire provided by the Company requesting information customarily sought of selling security holders.</w:t>
      </w:r>
    </w:p>
    <w:p>
      <w:pPr>
        <w:spacing w:after="0" w:line="76" w:lineRule="exact"/>
        <w:rPr>
          <w:sz w:val="20"/>
          <w:szCs w:val="20"/>
          <w:color w:val="auto"/>
        </w:rPr>
      </w:pPr>
    </w:p>
    <w:p>
      <w:pPr>
        <w:ind w:right="220" w:firstLine="423"/>
        <w:spacing w:after="0" w:line="257" w:lineRule="auto"/>
        <w:rPr>
          <w:sz w:val="20"/>
          <w:szCs w:val="20"/>
          <w:color w:val="auto"/>
        </w:rPr>
      </w:pPr>
      <w:r>
        <w:rPr>
          <w:rFonts w:ascii="Arial" w:cs="Arial" w:eastAsia="Arial" w:hAnsi="Arial"/>
          <w:sz w:val="18"/>
          <w:szCs w:val="18"/>
          <w:color w:val="auto"/>
        </w:rPr>
        <w:t>5.3.6 Damages. Should the registration or the effectiveness thereof required by Sections 5.1 and 5.2 hereof be delayed by the Company or the Company otherwise fails to comply with such provisions, the Holder(s) shall, in addition to any other legal or other relief available to the Holder(s),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420" w:firstLine="419"/>
        <w:spacing w:after="0" w:line="277" w:lineRule="auto"/>
        <w:tabs>
          <w:tab w:leader="none" w:pos="60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w:t>
      </w:r>
    </w:p>
    <w:p>
      <w:pPr>
        <w:spacing w:after="0" w:line="62" w:lineRule="exact"/>
        <w:rPr>
          <w:rFonts w:ascii="Arial" w:cs="Arial" w:eastAsia="Arial" w:hAnsi="Arial"/>
          <w:sz w:val="18"/>
          <w:szCs w:val="18"/>
          <w:color w:val="auto"/>
        </w:rPr>
      </w:pPr>
    </w:p>
    <w:p>
      <w:pPr>
        <w:ind w:firstLine="419"/>
        <w:spacing w:after="0" w:line="275" w:lineRule="auto"/>
        <w:tabs>
          <w:tab w:leader="none" w:pos="618"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68" w:lineRule="exact"/>
        <w:rPr>
          <w:rFonts w:ascii="Arial" w:cs="Arial" w:eastAsia="Arial" w:hAnsi="Arial"/>
          <w:sz w:val="17"/>
          <w:szCs w:val="17"/>
          <w:color w:val="auto"/>
        </w:rPr>
      </w:pPr>
    </w:p>
    <w:p>
      <w:pPr>
        <w:ind w:right="360" w:firstLine="419"/>
        <w:spacing w:after="0" w:line="342" w:lineRule="auto"/>
        <w:tabs>
          <w:tab w:leader="none" w:pos="608"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5" w:lineRule="exact"/>
        <w:rPr>
          <w:rFonts w:ascii="Arial" w:cs="Arial" w:eastAsia="Arial" w:hAnsi="Arial"/>
          <w:sz w:val="16"/>
          <w:szCs w:val="16"/>
          <w:color w:val="auto"/>
        </w:rPr>
      </w:pPr>
    </w:p>
    <w:p>
      <w:pPr>
        <w:ind w:left="620" w:hanging="201"/>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540" w:right="160" w:firstLine="902"/>
        <w:spacing w:after="0" w:line="293"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A-16</w:t>
      </w:r>
    </w:p>
    <w:p>
      <w:pPr>
        <w:sectPr>
          <w:pgSz w:w="11900" w:h="16838" w:orient="portrait"/>
          <w:cols w:equalWidth="0" w:num="1">
            <w:col w:w="10560"/>
          </w:cols>
          <w:pgMar w:left="880" w:top="274" w:right="459" w:bottom="1440" w:gutter="0" w:footer="0" w:header="0"/>
        </w:sectPr>
      </w:pPr>
    </w:p>
    <w:bookmarkStart w:id="254" w:name="page255"/>
    <w:bookmarkEnd w:id="254"/>
    <w:p>
      <w:pPr>
        <w:ind w:left="540"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0" w:lineRule="exact"/>
        <w:rPr>
          <w:sz w:val="20"/>
          <w:szCs w:val="20"/>
          <w:color w:val="auto"/>
        </w:rPr>
      </w:pPr>
    </w:p>
    <w:p>
      <w:pPr>
        <w:ind w:left="540" w:firstLine="401"/>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60" w:lineRule="exact"/>
        <w:rPr>
          <w:sz w:val="20"/>
          <w:szCs w:val="20"/>
          <w:color w:val="auto"/>
        </w:rPr>
      </w:pPr>
    </w:p>
    <w:p>
      <w:pPr>
        <w:jc w:val="both"/>
        <w:ind w:left="540" w:right="100" w:firstLine="401"/>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6" w:lineRule="exact"/>
        <w:rPr>
          <w:sz w:val="20"/>
          <w:szCs w:val="20"/>
          <w:color w:val="auto"/>
        </w:rPr>
      </w:pPr>
    </w:p>
    <w:p>
      <w:pPr>
        <w:jc w:val="both"/>
        <w:ind w:right="340" w:firstLine="419"/>
        <w:spacing w:after="0" w:line="311" w:lineRule="auto"/>
        <w:tabs>
          <w:tab w:leader="none" w:pos="608"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All questions concerning the construction, validity, enforcement and interpretation of this Warrant shall be determined in accordance with the provisions of the underwriting agreement, dated ___, 2021, by and between the Company and ThinkEquity, a division of Fordham Financial Management, Inc., as representatives of the underwriters set forth therein (the “Underwriting Agreement”).</w:t>
      </w:r>
    </w:p>
    <w:p>
      <w:pPr>
        <w:spacing w:after="0" w:line="40" w:lineRule="exact"/>
        <w:rPr>
          <w:rFonts w:ascii="Arial" w:cs="Arial" w:eastAsia="Arial" w:hAnsi="Arial"/>
          <w:sz w:val="16"/>
          <w:szCs w:val="16"/>
          <w:color w:val="auto"/>
        </w:rPr>
      </w:pPr>
    </w:p>
    <w:p>
      <w:pPr>
        <w:ind w:right="480" w:firstLine="419"/>
        <w:spacing w:after="0" w:line="308" w:lineRule="auto"/>
        <w:tabs>
          <w:tab w:leader="none" w:pos="588"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38" w:lineRule="exact"/>
        <w:rPr>
          <w:rFonts w:ascii="Arial" w:cs="Arial" w:eastAsia="Arial" w:hAnsi="Arial"/>
          <w:sz w:val="17"/>
          <w:szCs w:val="17"/>
          <w:color w:val="auto"/>
        </w:rPr>
      </w:pPr>
    </w:p>
    <w:p>
      <w:pPr>
        <w:ind w:right="100" w:firstLine="419"/>
        <w:spacing w:after="0" w:line="273" w:lineRule="auto"/>
        <w:tabs>
          <w:tab w:leader="none" w:pos="618"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A-17</w:t>
      </w:r>
    </w:p>
    <w:p>
      <w:pPr>
        <w:sectPr>
          <w:pgSz w:w="11900" w:h="16838" w:orient="portrait"/>
          <w:cols w:equalWidth="0" w:num="1">
            <w:col w:w="10560"/>
          </w:cols>
          <w:pgMar w:left="880" w:top="274" w:right="459" w:bottom="1440" w:gutter="0" w:footer="0" w:header="0"/>
        </w:sectPr>
      </w:pPr>
    </w:p>
    <w:bookmarkStart w:id="255" w:name="page256"/>
    <w:bookmarkEnd w:id="255"/>
    <w:p>
      <w:pPr>
        <w:ind w:right="380" w:firstLine="419"/>
        <w:spacing w:after="0" w:line="277" w:lineRule="auto"/>
        <w:tabs>
          <w:tab w:leader="none" w:pos="61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Underwriting Agreement.</w:t>
      </w:r>
    </w:p>
    <w:p>
      <w:pPr>
        <w:spacing w:after="0" w:line="62" w:lineRule="exact"/>
        <w:rPr>
          <w:rFonts w:ascii="Arial" w:cs="Arial" w:eastAsia="Arial" w:hAnsi="Arial"/>
          <w:sz w:val="18"/>
          <w:szCs w:val="18"/>
          <w:color w:val="auto"/>
        </w:rPr>
      </w:pPr>
    </w:p>
    <w:p>
      <w:pPr>
        <w:jc w:val="both"/>
        <w:ind w:right="200" w:firstLine="419"/>
        <w:spacing w:after="0" w:line="259" w:lineRule="auto"/>
        <w:tabs>
          <w:tab w:leader="none" w:pos="57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8" w:lineRule="exact"/>
        <w:rPr>
          <w:rFonts w:ascii="Arial" w:cs="Arial" w:eastAsia="Arial" w:hAnsi="Arial"/>
          <w:sz w:val="18"/>
          <w:szCs w:val="18"/>
          <w:color w:val="auto"/>
        </w:rPr>
      </w:pPr>
    </w:p>
    <w:p>
      <w:pPr>
        <w:ind w:firstLine="419"/>
        <w:spacing w:after="0" w:line="259" w:lineRule="auto"/>
        <w:tabs>
          <w:tab w:leader="none" w:pos="57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8" w:lineRule="exact"/>
        <w:rPr>
          <w:rFonts w:ascii="Arial" w:cs="Arial" w:eastAsia="Arial" w:hAnsi="Arial"/>
          <w:sz w:val="18"/>
          <w:szCs w:val="18"/>
          <w:color w:val="auto"/>
        </w:rPr>
      </w:pPr>
    </w:p>
    <w:p>
      <w:pPr>
        <w:jc w:val="both"/>
        <w:ind w:firstLine="419"/>
        <w:spacing w:after="0" w:line="259" w:lineRule="auto"/>
        <w:tabs>
          <w:tab w:leader="none" w:pos="61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8" w:lineRule="exact"/>
        <w:rPr>
          <w:rFonts w:ascii="Arial" w:cs="Arial" w:eastAsia="Arial" w:hAnsi="Arial"/>
          <w:sz w:val="18"/>
          <w:szCs w:val="18"/>
          <w:color w:val="auto"/>
        </w:rPr>
      </w:pPr>
    </w:p>
    <w:p>
      <w:pPr>
        <w:ind w:left="580" w:hanging="161"/>
        <w:spacing w:after="0"/>
        <w:tabs>
          <w:tab w:leader="none" w:pos="58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102" w:lineRule="exact"/>
        <w:rPr>
          <w:rFonts w:ascii="Arial" w:cs="Arial" w:eastAsia="Arial" w:hAnsi="Arial"/>
          <w:sz w:val="16"/>
          <w:szCs w:val="16"/>
          <w:color w:val="auto"/>
        </w:rPr>
      </w:pPr>
    </w:p>
    <w:p>
      <w:pPr>
        <w:ind w:right="20" w:firstLine="419"/>
        <w:spacing w:after="0" w:line="311" w:lineRule="auto"/>
        <w:tabs>
          <w:tab w:leader="none" w:pos="66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40" w:lineRule="exact"/>
        <w:rPr>
          <w:rFonts w:ascii="Arial" w:cs="Arial" w:eastAsia="Arial" w:hAnsi="Arial"/>
          <w:sz w:val="16"/>
          <w:szCs w:val="16"/>
          <w:color w:val="auto"/>
        </w:rPr>
      </w:pPr>
    </w:p>
    <w:p>
      <w:pPr>
        <w:ind w:right="40" w:firstLine="419"/>
        <w:spacing w:after="0" w:line="277" w:lineRule="auto"/>
        <w:tabs>
          <w:tab w:leader="none" w:pos="61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 A-18</w:t>
      </w:r>
    </w:p>
    <w:p>
      <w:pPr>
        <w:sectPr>
          <w:pgSz w:w="11900" w:h="16838" w:orient="portrait"/>
          <w:cols w:equalWidth="0" w:num="1">
            <w:col w:w="10560"/>
          </w:cols>
          <w:pgMar w:left="880" w:top="274" w:right="459" w:bottom="1440" w:gutter="0" w:footer="0" w:header="0"/>
        </w:sectPr>
      </w:pPr>
    </w:p>
    <w:bookmarkStart w:id="256" w:name="page257"/>
    <w:bookmarkEnd w:id="25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A-19</w:t>
      </w:r>
    </w:p>
    <w:p>
      <w:pPr>
        <w:sectPr>
          <w:pgSz w:w="11900" w:h="16838" w:orient="portrait"/>
          <w:cols w:equalWidth="0" w:num="1">
            <w:col w:w="10980"/>
          </w:cols>
          <w:pgMar w:left="440" w:top="274" w:right="479" w:bottom="1440" w:gutter="0" w:footer="0" w:header="0"/>
        </w:sectPr>
      </w:pPr>
    </w:p>
    <w:bookmarkStart w:id="257" w:name="page258"/>
    <w:bookmarkEnd w:id="257"/>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56"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TO:</w:t>
        <w:tab/>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126365</wp:posOffset>
            </wp:positionV>
            <wp:extent cx="10566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313" w:lineRule="exact"/>
        <w:rPr>
          <w:sz w:val="20"/>
          <w:szCs w:val="20"/>
          <w:color w:val="auto"/>
        </w:rPr>
      </w:pPr>
    </w:p>
    <w:p>
      <w:pPr>
        <w:ind w:firstLine="987"/>
        <w:spacing w:after="0" w:line="308" w:lineRule="auto"/>
        <w:tabs>
          <w:tab w:leader="none" w:pos="124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 in lawful money of the United States; or</w:t>
      </w:r>
    </w:p>
    <w:p>
      <w:pPr>
        <w:spacing w:after="0" w:line="117" w:lineRule="exact"/>
        <w:rPr>
          <w:sz w:val="20"/>
          <w:szCs w:val="20"/>
          <w:color w:val="auto"/>
        </w:rPr>
      </w:pPr>
    </w:p>
    <w:p>
      <w:pPr>
        <w:jc w:val="both"/>
        <w:ind w:left="1420" w:right="280" w:firstLine="8"/>
        <w:spacing w:after="0" w:line="263" w:lineRule="auto"/>
        <w:tabs>
          <w:tab w:leader="none" w:pos="152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Please register and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424815</wp:posOffset>
            </wp:positionV>
            <wp:extent cx="15138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271780</wp:posOffset>
            </wp:positionV>
            <wp:extent cx="15138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1513840"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554990</wp:posOffset>
            </wp:positionV>
            <wp:extent cx="15138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1513840"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837565</wp:posOffset>
            </wp:positionV>
            <wp:extent cx="15138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If the Warrant is being exercised via cash exercise, the undersigned is an “accredited investor” as defined in Regulation D promulgated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 A-20</w:t>
      </w:r>
    </w:p>
    <w:p>
      <w:pPr>
        <w:sectPr>
          <w:pgSz w:w="11900" w:h="16838" w:orient="portrait"/>
          <w:cols w:equalWidth="0" w:num="1">
            <w:col w:w="10700"/>
          </w:cols>
          <w:pgMar w:left="440" w:top="270" w:right="75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VALUE RECEIVED, [____] all of or [_______] shares of the foregoing Warrant and all rights evidenced thereby are hereby assigned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 whose address is</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084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4084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4084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408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Dated: ______________, _______</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Holder’s Signature: _____________________________</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Holder’s Address: 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271780</wp:posOffset>
            </wp:positionV>
            <wp:extent cx="17710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A-21</w:t>
      </w:r>
    </w:p>
    <w:p>
      <w:pPr>
        <w:sectPr>
          <w:pgSz w:w="11900" w:h="16838" w:orient="portrait"/>
          <w:cols w:equalWidth="0" w:num="1">
            <w:col w:w="11000"/>
          </w:cols>
          <w:pgMar w:left="440" w:top="270" w:right="45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Lock-Up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9019"/>
          </w:cols>
          <w:pgMar w:left="1440" w:top="270" w:right="1440" w:bottom="1440" w:gutter="0" w:footer="0" w:header="0"/>
        </w:sectPr>
      </w:pPr>
    </w:p>
    <w:bookmarkStart w:id="260" w:name="page261"/>
    <w:bookmarkEnd w:id="260"/>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[COMPANY] (the “Company”) announced today that ThinkEquity, a division of Fordham Financial Management, Inc., acting as representative for the underwriters in the Company’s recent public offering of _______ shares of the Company’s common stock, is [waiving] [releasing] a lock-up restriction</w:t>
      </w:r>
    </w:p>
    <w:p>
      <w:pPr>
        <w:spacing w:after="0"/>
        <w:rPr>
          <w:sz w:val="20"/>
          <w:szCs w:val="20"/>
          <w:color w:val="auto"/>
        </w:rPr>
      </w:pPr>
      <w:r>
        <w:rPr>
          <w:rFonts w:ascii="Arial" w:cs="Arial" w:eastAsia="Arial" w:hAnsi="Arial"/>
          <w:sz w:val="16"/>
          <w:szCs w:val="16"/>
          <w:color w:val="auto"/>
        </w:rPr>
        <w:t>with respect to _________ shares of the Company’s common stock held by [certain officers or directors] [an officer or director]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[waiver] [release] will take effect on _________, 20___, and the shares may be sold on or after such date.</w:t>
      </w:r>
    </w:p>
    <w:p>
      <w:pPr>
        <w:spacing w:after="0" w:line="20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C-1</w:t>
      </w:r>
    </w:p>
    <w:p>
      <w:pPr>
        <w:sectPr>
          <w:pgSz w:w="11900" w:h="16838" w:orient="portrait"/>
          <w:cols w:equalWidth="0" w:num="1">
            <w:col w:w="10880"/>
          </w:cols>
          <w:pgMar w:left="440" w:top="270" w:right="57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 THERAPEUTICS INC.</w:t>
      </w:r>
    </w:p>
    <w:p>
      <w:pPr>
        <w:spacing w:after="0" w:line="211"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Context Therapeutics Inc., a corporation duly organized and existing under the General Corporation Law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w:t>
      </w:r>
    </w:p>
    <w:p>
      <w:pPr>
        <w:spacing w:after="0" w:line="62" w:lineRule="exact"/>
        <w:rPr>
          <w:sz w:val="20"/>
          <w:szCs w:val="20"/>
          <w:color w:val="auto"/>
        </w:rPr>
      </w:pPr>
    </w:p>
    <w:p>
      <w:pPr>
        <w:ind w:left="440" w:right="160" w:hanging="4"/>
        <w:spacing w:after="0" w:line="277" w:lineRule="auto"/>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by inserting the following paragraph immediately following the second paragraph of Article IV, Section A thereof:</w:t>
      </w:r>
    </w:p>
    <w:p>
      <w:pPr>
        <w:spacing w:after="0" w:line="62" w:lineRule="exact"/>
        <w:rPr>
          <w:sz w:val="20"/>
          <w:szCs w:val="20"/>
          <w:color w:val="auto"/>
        </w:rPr>
      </w:pPr>
    </w:p>
    <w:p>
      <w:pPr>
        <w:ind w:left="980" w:right="20"/>
        <w:spacing w:after="0" w:line="291" w:lineRule="auto"/>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Common Stock Reverse Stock Split</w:t>
      </w:r>
      <w:r>
        <w:rPr>
          <w:rFonts w:ascii="Arial" w:cs="Arial" w:eastAsia="Arial" w:hAnsi="Arial"/>
          <w:sz w:val="16"/>
          <w:szCs w:val="16"/>
          <w:color w:val="auto"/>
        </w:rPr>
        <w:t>: Without any other action on the part of the Corporation or any other person, effective immediately upon the filing of this Certificate of Amendment to the Certificate of Incorporation of the Corporation (the “</w:t>
      </w:r>
      <w:r>
        <w:rPr>
          <w:rFonts w:ascii="Arial" w:cs="Arial" w:eastAsia="Arial" w:hAnsi="Arial"/>
          <w:sz w:val="16"/>
          <w:szCs w:val="16"/>
          <w:b w:val="1"/>
          <w:bCs w:val="1"/>
          <w:color w:val="auto"/>
        </w:rPr>
        <w:t>Effective Time</w:t>
      </w:r>
      <w:r>
        <w:rPr>
          <w:rFonts w:ascii="Arial" w:cs="Arial" w:eastAsia="Arial" w:hAnsi="Arial"/>
          <w:sz w:val="16"/>
          <w:szCs w:val="16"/>
          <w:color w:val="auto"/>
        </w:rPr>
        <w:t>”), each six</w:t>
      </w:r>
    </w:p>
    <w:p>
      <w:pPr>
        <w:ind w:left="980" w:right="40" w:firstLine="7"/>
        <w:spacing w:after="0" w:line="284" w:lineRule="auto"/>
        <w:tabs>
          <w:tab w:leader="none" w:pos="123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shares of the Corporation’s Common Stock issued and outstanding (the “</w:t>
      </w:r>
      <w:r>
        <w:rPr>
          <w:rFonts w:ascii="Arial" w:cs="Arial" w:eastAsia="Arial" w:hAnsi="Arial"/>
          <w:sz w:val="16"/>
          <w:szCs w:val="16"/>
          <w:b w:val="1"/>
          <w:bCs w:val="1"/>
          <w:color w:val="auto"/>
        </w:rPr>
        <w:t>Old Common Stock</w:t>
      </w:r>
      <w:r>
        <w:rPr>
          <w:rFonts w:ascii="Arial" w:cs="Arial" w:eastAsia="Arial" w:hAnsi="Arial"/>
          <w:sz w:val="16"/>
          <w:szCs w:val="16"/>
          <w:color w:val="auto"/>
        </w:rPr>
        <w:t>”) shall automatically, without further action on the part of the Corporation or any holder of Old Common Stock, convert into one (1) fully paid and nonassessable shares of Common Stock (the “</w:t>
      </w:r>
      <w:r>
        <w:rPr>
          <w:rFonts w:ascii="Arial" w:cs="Arial" w:eastAsia="Arial" w:hAnsi="Arial"/>
          <w:sz w:val="16"/>
          <w:szCs w:val="16"/>
          <w:b w:val="1"/>
          <w:bCs w:val="1"/>
          <w:color w:val="auto"/>
        </w:rPr>
        <w:t>New Common Stock</w:t>
      </w:r>
      <w:r>
        <w:rPr>
          <w:rFonts w:ascii="Arial" w:cs="Arial" w:eastAsia="Arial" w:hAnsi="Arial"/>
          <w:sz w:val="16"/>
          <w:szCs w:val="16"/>
          <w:color w:val="auto"/>
        </w:rPr>
        <w:t>”). The conversion described in the foregoing sentence shall be collectively referred to herein as the “</w:t>
      </w:r>
      <w:r>
        <w:rPr>
          <w:rFonts w:ascii="Arial" w:cs="Arial" w:eastAsia="Arial" w:hAnsi="Arial"/>
          <w:sz w:val="16"/>
          <w:szCs w:val="16"/>
          <w:b w:val="1"/>
          <w:bCs w:val="1"/>
          <w:color w:val="auto"/>
        </w:rPr>
        <w:t>Common Stock Reverse Stock Split</w:t>
      </w:r>
      <w:r>
        <w:rPr>
          <w:rFonts w:ascii="Arial" w:cs="Arial" w:eastAsia="Arial" w:hAnsi="Arial"/>
          <w:sz w:val="16"/>
          <w:szCs w:val="16"/>
          <w:color w:val="auto"/>
        </w:rPr>
        <w:t>,” and such split factor of 1/6 shall be referred to as the “</w:t>
      </w:r>
      <w:r>
        <w:rPr>
          <w:rFonts w:ascii="Arial" w:cs="Arial" w:eastAsia="Arial" w:hAnsi="Arial"/>
          <w:sz w:val="16"/>
          <w:szCs w:val="16"/>
          <w:b w:val="1"/>
          <w:bCs w:val="1"/>
          <w:color w:val="auto"/>
        </w:rPr>
        <w:t>Common Stock Reverse Split</w:t>
      </w:r>
      <w:r>
        <w:rPr>
          <w:rFonts w:ascii="Arial" w:cs="Arial" w:eastAsia="Arial" w:hAnsi="Arial"/>
          <w:sz w:val="16"/>
          <w:szCs w:val="16"/>
          <w:color w:val="auto"/>
        </w:rPr>
        <w:t xml:space="preserve"> </w:t>
      </w:r>
      <w:r>
        <w:rPr>
          <w:rFonts w:ascii="Arial" w:cs="Arial" w:eastAsia="Arial" w:hAnsi="Arial"/>
          <w:sz w:val="16"/>
          <w:szCs w:val="16"/>
          <w:b w:val="1"/>
          <w:bCs w:val="1"/>
          <w:color w:val="auto"/>
        </w:rPr>
        <w:t>Factor</w:t>
      </w:r>
      <w:r>
        <w:rPr>
          <w:rFonts w:ascii="Arial" w:cs="Arial" w:eastAsia="Arial" w:hAnsi="Arial"/>
          <w:sz w:val="16"/>
          <w:szCs w:val="16"/>
          <w:color w:val="auto"/>
        </w:rPr>
        <w:t>.” Any shares of Old Common Stock currently held in the Corporation’s treasury shall also be converted into Common Stock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Common Stock Reverse Stock Split. No fractional shares of Common Stock shall be issued upon the Common Stock Reverse Stock Split. In lieu of any fractional shares to which a holder would otherwise be entitled, the Corporation shall pay cash equal to such fraction multiplied by the fair market value of a share of the Common Stock as determined in good faith by the board of directors of the Corporation. From and after the Effective Time, any stock certificates that, immediately prior to the Effective Time, represented the shares of Old Common Stock shall, from and after the Effective Time, automatically and without the necessity of presenting the same for exchange, represent the number of shares of New Common Stock into which such Old Common Stock has been converted in the Common Stock Reverse Stock Split pursuant to this Certificate of Amendment. Whether or not fractional shares will be issuable upon the Common Stock Reverse Stock Split shall be determined on the basis of the number of shares of Old Common Stock represented by each certificate of Old Common Stock at the time of the Common Stock Reverse Stock Split and the number of shares of New Common Stock issuable with respect to each such certificate upon the Common Stock Reverse Stock Split.</w:t>
      </w:r>
    </w:p>
    <w:p>
      <w:pPr>
        <w:spacing w:after="0" w:line="68" w:lineRule="exact"/>
        <w:rPr>
          <w:sz w:val="20"/>
          <w:szCs w:val="20"/>
          <w:color w:val="auto"/>
        </w:rPr>
      </w:pPr>
    </w:p>
    <w:p>
      <w:pPr>
        <w:ind w:left="980" w:right="240"/>
        <w:spacing w:after="0" w:line="296" w:lineRule="auto"/>
        <w:rPr>
          <w:sz w:val="20"/>
          <w:szCs w:val="20"/>
          <w:color w:val="auto"/>
        </w:rPr>
      </w:pPr>
      <w:r>
        <w:rPr>
          <w:rFonts w:ascii="Arial" w:cs="Arial" w:eastAsia="Arial" w:hAnsi="Arial"/>
          <w:sz w:val="16"/>
          <w:szCs w:val="16"/>
          <w:color w:val="auto"/>
        </w:rPr>
        <w:t>All warrants, options and other securities convertible, exchangeable or that can be exercised for Common Stock outstanding at the Effective Time and outstanding option agreements, be, and the same hereby are, adjusted as of the Effective Time as follows, (i) the number of shares of Common Stock that each such option and warrant currently entitles the holder to purchase will be multiplied by the Common Stock Reverse Split Factor rounded down to the nearest whole share and the exercise price of each share of Common Stock subject to each such option and warrant will be divided by the Common Stock Reverse Split Factor (rounded to the nearest penny).”</w:t>
      </w:r>
    </w:p>
    <w:p>
      <w:pPr>
        <w:spacing w:after="0" w:line="53" w:lineRule="exact"/>
        <w:rPr>
          <w:sz w:val="20"/>
          <w:szCs w:val="20"/>
          <w:color w:val="auto"/>
        </w:rPr>
      </w:pPr>
    </w:p>
    <w:p>
      <w:pPr>
        <w:ind w:left="440" w:right="380" w:hanging="4"/>
        <w:spacing w:after="0" w:line="277" w:lineRule="auto"/>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by inserting the following paragraph immediately following the first paragraph of Article IV, Section B thereof:</w:t>
      </w:r>
    </w:p>
    <w:p>
      <w:pPr>
        <w:spacing w:after="0" w:line="62" w:lineRule="exact"/>
        <w:rPr>
          <w:sz w:val="20"/>
          <w:szCs w:val="20"/>
          <w:color w:val="auto"/>
        </w:rPr>
      </w:pPr>
    </w:p>
    <w:p>
      <w:pPr>
        <w:ind w:left="980" w:right="280"/>
        <w:spacing w:after="0" w:line="259" w:lineRule="auto"/>
        <w:rPr>
          <w:sz w:val="20"/>
          <w:szCs w:val="20"/>
          <w:color w:val="auto"/>
        </w:rPr>
      </w:pPr>
      <w:r>
        <w:rPr>
          <w:rFonts w:ascii="Arial" w:cs="Arial" w:eastAsia="Arial" w:hAnsi="Arial"/>
          <w:sz w:val="18"/>
          <w:szCs w:val="18"/>
          <w:color w:val="auto"/>
        </w:rPr>
        <w:t>“Without any other action on the part of the Corporation or any other person, effective immediately upon the filing of this Certificate of Amendment to the Certificate of Incorporation of the Corporation (the “</w:t>
      </w:r>
      <w:r>
        <w:rPr>
          <w:rFonts w:ascii="Arial" w:cs="Arial" w:eastAsia="Arial" w:hAnsi="Arial"/>
          <w:sz w:val="18"/>
          <w:szCs w:val="18"/>
          <w:b w:val="1"/>
          <w:bCs w:val="1"/>
          <w:color w:val="auto"/>
        </w:rPr>
        <w:t>Effective Time</w:t>
      </w:r>
      <w:r>
        <w:rPr>
          <w:rFonts w:ascii="Arial" w:cs="Arial" w:eastAsia="Arial" w:hAnsi="Arial"/>
          <w:sz w:val="18"/>
          <w:szCs w:val="18"/>
          <w:color w:val="auto"/>
        </w:rPr>
        <w:t>”), each six (6) shares of the Corporation’s Preferred Stock issued and outstanding (the “</w:t>
      </w:r>
      <w:r>
        <w:rPr>
          <w:rFonts w:ascii="Arial" w:cs="Arial" w:eastAsia="Arial" w:hAnsi="Arial"/>
          <w:sz w:val="18"/>
          <w:szCs w:val="18"/>
          <w:b w:val="1"/>
          <w:bCs w:val="1"/>
          <w:color w:val="auto"/>
        </w:rPr>
        <w:t>Old Preferred Stock</w:t>
      </w:r>
      <w:r>
        <w:rPr>
          <w:rFonts w:ascii="Arial" w:cs="Arial" w:eastAsia="Arial" w:hAnsi="Arial"/>
          <w:sz w:val="18"/>
          <w:szCs w:val="18"/>
          <w:color w:val="auto"/>
        </w:rPr>
        <w:t>”) shall automatically, without further action on the part of the Corporation or any holder of Old Preferred Stock, convert into one (1) fully paid</w:t>
      </w:r>
    </w:p>
    <w:p>
      <w:pPr>
        <w:sectPr>
          <w:pgSz w:w="11900" w:h="16838" w:orient="portrait"/>
          <w:cols w:equalWidth="0" w:num="1">
            <w:col w:w="11020"/>
          </w:cols>
          <w:pgMar w:left="440" w:top="125" w:right="439" w:bottom="1440" w:gutter="0" w:footer="0" w:header="0"/>
        </w:sectPr>
      </w:pPr>
    </w:p>
    <w:bookmarkStart w:id="262" w:name="page263"/>
    <w:bookmarkEnd w:id="26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nonassessable shares of Preferred Stock (the “</w:t>
      </w:r>
      <w:r>
        <w:rPr>
          <w:rFonts w:ascii="Arial" w:cs="Arial" w:eastAsia="Arial" w:hAnsi="Arial"/>
          <w:sz w:val="16"/>
          <w:szCs w:val="16"/>
          <w:b w:val="1"/>
          <w:bCs w:val="1"/>
          <w:color w:val="auto"/>
        </w:rPr>
        <w:t>New Preferred Stock</w:t>
      </w:r>
      <w:r>
        <w:rPr>
          <w:rFonts w:ascii="Arial" w:cs="Arial" w:eastAsia="Arial" w:hAnsi="Arial"/>
          <w:sz w:val="16"/>
          <w:szCs w:val="16"/>
          <w:color w:val="auto"/>
        </w:rPr>
        <w:t>”). The conversion described in the foregoing sentence shall be</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collectively referred to herein as the “</w:t>
      </w:r>
      <w:r>
        <w:rPr>
          <w:rFonts w:ascii="Arial" w:cs="Arial" w:eastAsia="Arial" w:hAnsi="Arial"/>
          <w:sz w:val="17"/>
          <w:szCs w:val="17"/>
          <w:b w:val="1"/>
          <w:bCs w:val="1"/>
          <w:color w:val="auto"/>
        </w:rPr>
        <w:t>Preferred Stock Reverse Stock Split</w:t>
      </w:r>
      <w:r>
        <w:rPr>
          <w:rFonts w:ascii="Arial" w:cs="Arial" w:eastAsia="Arial" w:hAnsi="Arial"/>
          <w:sz w:val="17"/>
          <w:szCs w:val="17"/>
          <w:color w:val="auto"/>
        </w:rPr>
        <w:t>,” and such split factor of 1/6 shall be referred to as the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Stock Reverse Split Factor</w:t>
      </w:r>
      <w:r>
        <w:rPr>
          <w:rFonts w:ascii="Arial" w:cs="Arial" w:eastAsia="Arial" w:hAnsi="Arial"/>
          <w:sz w:val="17"/>
          <w:szCs w:val="17"/>
          <w:color w:val="auto"/>
        </w:rPr>
        <w:t>.” Any shares of Old Preferred Stock currently held in the Corporation’s treasury shall also be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converted into Preferred Stock in accordance with the Preferred Stock Reverse Stock Split. No fractional shares of Preferred Stock shall be</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issued upon the Preferred Stock Reverse Stock Split. In lieu of any fractional shares to which a holder would otherwise be entitled, the</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Corporation shall pay cash equal to such fraction multiplied by the fair market value of a share of the Preferred Stock as determined in</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good faith by the board of directors of the Corporation. From and after the Effective Time, any stock certificates that, immediately prior to</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Effective Time, represented the shares of Old Preferred Stock shall, from and after the Effective Time, automatically and without the</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necessity of presenting the same for exchange, represent the number of shares of New Preferred Stock into which such Old Preferred Stock</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has been converted in the Preferred Stock Reverse Stock Split pursuant to this Certificate of Amendment. Whether or not fractional shares</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will be issuable upon the Preferred Stock Reverse Stock Split shall be determined on the basis of the number of shares of Old Preferred</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Stock represented by each certificate of Old Preferred Stock at the time of the Preferred Stock Reverse Stock Split and the number of</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 of New Preferred Stock issuable with respect to each such certificate upon the Preferred Stock Reverse Stock Split.</w:t>
      </w:r>
    </w:p>
    <w:p>
      <w:pPr>
        <w:spacing w:after="0" w:line="103" w:lineRule="exact"/>
        <w:rPr>
          <w:sz w:val="20"/>
          <w:szCs w:val="20"/>
          <w:color w:val="auto"/>
        </w:rPr>
      </w:pPr>
    </w:p>
    <w:p>
      <w:pPr>
        <w:ind w:left="980" w:right="240"/>
        <w:spacing w:after="0" w:line="296" w:lineRule="auto"/>
        <w:rPr>
          <w:sz w:val="20"/>
          <w:szCs w:val="20"/>
          <w:color w:val="auto"/>
        </w:rPr>
      </w:pPr>
      <w:r>
        <w:rPr>
          <w:rFonts w:ascii="Arial" w:cs="Arial" w:eastAsia="Arial" w:hAnsi="Arial"/>
          <w:sz w:val="16"/>
          <w:szCs w:val="16"/>
          <w:color w:val="auto"/>
        </w:rPr>
        <w:t>All warrants, options and other securities convertible, exchangeable or that can be exercised for Preferred Stock outstanding at the Effective Time and outstanding option agreements, be, and the same hereby are, adjusted as of the Effective Time as follows, (i) the number of shares of Preferred Stock that each such option and warrant currently entitles the holder to purchase will be multiplied by the Preferred Stock Reverse Split Factor rounded down to the nearest whole share and the exercise price of each share of Preferred Stock subject to each such option and warrant will be divided by the Preferred Stock Reverse Split Factor (rounded to the nearest penny).”</w:t>
      </w:r>
    </w:p>
    <w:p>
      <w:pPr>
        <w:spacing w:after="0" w:line="53" w:lineRule="exact"/>
        <w:rPr>
          <w:sz w:val="20"/>
          <w:szCs w:val="20"/>
          <w:color w:val="auto"/>
        </w:rPr>
      </w:pPr>
    </w:p>
    <w:p>
      <w:pPr>
        <w:ind w:left="440" w:right="640" w:hanging="4"/>
        <w:spacing w:after="0" w:line="277" w:lineRule="auto"/>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foregoing amendments were duly adopted in accordance with the provisions of Sections 242 and 228 (by the written consent of the stockholders of the Corporation) of the General Corporation Law of the State of Delaware.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IN WITNESS WHEREOF, Context Therapeutics Inc. has caused this Certificate of Amendment to be executed by its duly authorized officer on this 23rd day of June,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CONTEXT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Martin Lehr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0"/>
          </w:cols>
          <w:pgMar w:left="440" w:top="270" w:right="4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7289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Faegre Drinker Biddle &amp; Reath LLP</w:t>
      </w:r>
    </w:p>
    <w:p>
      <w:pPr>
        <w:spacing w:after="0" w:line="2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+1 612 766 7000 main</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+1 612 766 1600 fax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Context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3675 Market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We have acted as counsel to Context Therapeutics Inc., a Delaware corporation (the “Company”), in connection with the public offering by the Company of up to an aggregate of 1,725,000 shares (the “Shares”) of the Company’s common stock, par value $0.001 per share (“Common Stock”), which includes shares subject to the underwriter’s option to purchase additional shares. The Shares are being offered pursuant to the Registration Statement on Form S-1, as amended (File No. 333-256572) (the “Registration Statement”), filed by the Company with the Securities and Exchange Commission (the “Commission”) under the Securities Act of 1933, as amended (the “Act”), including a related prospectus filed with the Registration Statement (the “Prospectus”). The Shares are to be sold by the Company as described in the Registration Statement and the Prospectus. This opinion is being furnished in connection with the requirements of Item 601(b)(5) of Regulation S-K under the Act.</w:t>
      </w:r>
    </w:p>
    <w:p>
      <w:pPr>
        <w:spacing w:after="0" w:line="177"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In this capacity, we have examined originals or copies, certified or otherwise identified to our satisfaction, of the following documents: (i) the Registration Statement and Prospectus, (ii) the form of Underwriting Agreement by and between ThinkEquity, a division of Fordham Financial Management, Inc. (the “Representative”) and the Company, filed as Exhibit 1.1 to the Registration Statement (the “Underwriting Agreement”), (iii) the Company’s Certificate of Incorporation, in the form filed as Exhibit 3.1 to the Registration Statement, (iv) the Certificate of Amendment to the Company’s Certificate of Incorporation, in the form filed as Exhibit 3.2 to the Registration Statement, (v) the Amended and Restated Certificate of Incorporation, in the form filed as Exhibit 3.3 to the Registration Statement, (vi) the Company’s Bylaws, in the form filed as Exhibit 3.4 to the Registration Statement, (vii) the Company’s Amended and Restated Bylaws, in the form filed as Exhibit 3.5 to the Registration Statement, and (viii) the resolutions of the Board of Directors of the Company authorizing the Company’s issuance of the Shares. We have also examined a certificate of the Secretary of the Company dated the date hereof (the “Certificate”)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all issues of fact material to this opinion letter, we have relied on certificates, statements or representations of public officials, of officers and representatives of the Company (including the Certificate) and of others, without any independent verification thereof or other investigation.</w:t>
      </w:r>
    </w:p>
    <w:p>
      <w:pPr>
        <w:spacing w:after="0" w:line="18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our examination, we have assumed, without investigation: (i) the legal capacity of all natural persons signing any of the documents and corporate records examined by us; (ii) the genuineness of all signatures, including electronic signatures; (iii) the authenticity of all documents submitted to us as</w:t>
      </w:r>
    </w:p>
    <w:p>
      <w:pPr>
        <w:sectPr>
          <w:pgSz w:w="11900" w:h="16838" w:orient="portrait"/>
          <w:cols w:equalWidth="0" w:num="1">
            <w:col w:w="11020"/>
          </w:cols>
          <w:pgMar w:left="440" w:top="125" w:right="439" w:bottom="1440" w:gutter="0" w:footer="0" w:header="0"/>
        </w:sectPr>
      </w:pPr>
    </w:p>
    <w:bookmarkStart w:id="264" w:name="page265"/>
    <w:bookmarkEnd w:id="26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 In addition, we have assumed that the Company’s Board of Directors or its Pricing Committee has taken action to set the pricing range of the Shares.</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Based upon and subject to the foregoing qualifications, assumptions and limitations and the further limitations set forth below, we are of the opinion that upon payment therefor and issuance and delivery thereof in accordance with the Underwriting Agreement, including delivery of certificates representing the Shares duly executed by the duly authorized officers of the Company, countersigned by the transfer agent therefor, to the purchasers thereof (or in the case of Shares issued without certificates, the due registration of issuance and constructive delivery through book entry of such Shares), the Shares will be validly issued, fully paid and non-assessable.</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Our opinion set forth herein is limited to the General Corporation Law of the State of Delaware, and we express no opinion as to the effect of any other laws.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This opinion letter is rendered as of the date first written above, and we assume no responsibility for updating this opinion letter or the opinion or statements set forth herein to take into account any event, action, interpretation or change in law occurring subsequent to the date hereof that may affect the validity of such opinion or statements. This opinion is expressly limited to the matters set forth above, and we render no opinion, whether by implication or otherwise, as to any other matters relating to the Company or the Shares.</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and to being named in the Prospectus under the caption “Legal Matters” with respect to the matters stated therein. In giving these consents, we do not imply or admit that we are “experts” within the meaning of the Act or that we are within the category of persons whose consent is required under Section 7 of the Act or the rules and regulations of the Commission issued thereunder with respect to any part of the Registration Statement, including this exhibit.</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FAEGRE DRINKER BIDDLE &amp; REATH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Ben A. Stacke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Ben A. Stacke, Partner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inclusion in this Registration Statement of Context Therapeutics Inc. on Amendment No. 2 to Form S-1 of our report, which includes an explanatory paragraph related to Context Therapeutics LLC’s ability to continue as a going concern, dated March 19, 2021, except for the effects of the matter discussed in Note 3 (Correction of Immaterial Misstatement) which is as of April 30, 2021 and the reverse stock split described in Note 6 and reverse triangular merger described in Note 11, which are as of June 25, 2021, on our audits of the consolidated financial statements of Context Therapeutics LLC and Subsidiaries as of December 31, 2020 and 2019 and for the years then ended. We also consent to the reference to our firm under the heading “Experts.”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Holmdel,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1)"/>
      <w:numFmt w:val="decimal"/>
      <w:start w:val="1"/>
    </w:lvl>
  </w:abstractNum>
  <w:abstractNum w:abstractNumId="1">
    <w:nsid w:val="2F305DEF"/>
    <w:multiLevelType w:val="hybridMultilevel"/>
    <w:lvl w:ilvl="0">
      <w:lvlJc w:val="left"/>
      <w:lvlText w:val="(%1)"/>
      <w:numFmt w:val="decimal"/>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1)"/>
      <w:numFmt w:val="lowerRoman"/>
      <w:start w:val="2"/>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1)"/>
      <w:numFmt w:val="decimal"/>
      <w:start w:val="1"/>
    </w:lvl>
  </w:abstractNum>
  <w:abstractNum w:abstractNumId="11">
    <w:nsid w:val="5F5E7FD0"/>
    <w:multiLevelType w:val="hybridMultilevel"/>
    <w:lvl w:ilvl="0">
      <w:lvlJc w:val="left"/>
      <w:lvlText w:val="(%1)"/>
      <w:numFmt w:val="decimal"/>
      <w:start w:val="2"/>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1)"/>
      <w:numFmt w:val="decimal"/>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1)"/>
      <w:numFmt w:val="decimal"/>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1)"/>
      <w:numFmt w:val="decimal"/>
      <w:start w:val="1"/>
    </w:lvl>
  </w:abstractNum>
  <w:abstractNum w:abstractNumId="63">
    <w:nsid w:val="7055A5F5"/>
    <w:multiLevelType w:val="hybridMultilevel"/>
    <w:lvl w:ilvl="0">
      <w:lvlJc w:val="left"/>
      <w:lvlText w:val="(%1)"/>
      <w:numFmt w:val="decimal"/>
      <w:start w:val="9"/>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1)"/>
      <w:numFmt w:val="lowerRoman"/>
      <w:start w:val="2"/>
    </w:lvl>
  </w:abstractNum>
  <w:abstractNum w:abstractNumId="67">
    <w:nsid w:val="5FB8011C"/>
    <w:multiLevelType w:val="hybridMultilevel"/>
    <w:lvl w:ilvl="0">
      <w:lvlJc w:val="left"/>
      <w:lvlText w:val="(%1)"/>
      <w:numFmt w:val="lowerRoman"/>
      <w:start w:val="2"/>
    </w:lvl>
  </w:abstractNum>
  <w:abstractNum w:abstractNumId="68">
    <w:nsid w:val="6AA78F7F"/>
    <w:multiLevelType w:val="hybridMultilevel"/>
    <w:lvl w:ilvl="0">
      <w:lvlJc w:val="left"/>
      <w:lvlText w:val="(%1)"/>
      <w:numFmt w:val="lowerRoman"/>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1)"/>
      <w:numFmt w:val="lowerRoman"/>
      <w:start w:val="1"/>
    </w:lvl>
  </w:abstractNum>
  <w:abstractNum w:abstractNumId="78">
    <w:nsid w:val="14FCE74E"/>
    <w:multiLevelType w:val="hybridMultilevel"/>
    <w:lvl w:ilvl="0">
      <w:lvlJc w:val="left"/>
      <w:lvlText w:val="(%1)"/>
      <w:numFmt w:val="lowerRoman"/>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1)"/>
      <w:numFmt w:val="decimal"/>
      <w:start w:val="1"/>
    </w:lvl>
    <w:lvl w:ilvl="1">
      <w:lvlJc w:val="left"/>
      <w:lvlText w:val="(%2)"/>
      <w:numFmt w:val="lowerRoman"/>
      <w:start w:val="1"/>
    </w:lvl>
  </w:abstractNum>
  <w:abstractNum w:abstractNumId="81">
    <w:nsid w:val="9DAF632"/>
    <w:multiLevelType w:val="hybridMultilevel"/>
    <w:lvl w:ilvl="0">
      <w:lvlJc w:val="left"/>
      <w:lvlText w:val="(%1)"/>
      <w:numFmt w:val="decimal"/>
      <w:start w:val="3"/>
    </w:lvl>
    <w:lvl w:ilvl="1">
      <w:lvlJc w:val="left"/>
      <w:lvlText w:val="(%2)"/>
      <w:numFmt w:val="lowerLetter"/>
      <w:start w:val="1"/>
    </w:lvl>
  </w:abstractNum>
  <w:abstractNum w:abstractNumId="82">
    <w:nsid w:val="53299938"/>
    <w:multiLevelType w:val="hybridMultilevel"/>
    <w:lvl w:ilvl="0">
      <w:lvlJc w:val="left"/>
      <w:lvlText w:val="%1."/>
      <w:numFmt w:val="decimal"/>
      <w:start w:val="1"/>
    </w:lvl>
    <w:lvl w:ilvl="1">
      <w:lvlJc w:val="left"/>
      <w:lvlText w:val="(%2)"/>
      <w:numFmt w:val="lowerRoman"/>
      <w:start w:val="1"/>
    </w:lvl>
  </w:abstractNum>
  <w:abstractNum w:abstractNumId="83">
    <w:nsid w:val="1FBFE8E0"/>
    <w:multiLevelType w:val="hybridMultilevel"/>
    <w:lvl w:ilvl="0">
      <w:lvlJc w:val="left"/>
      <w:lvlText w:val="(%1)"/>
      <w:numFmt w:val="lowerRoman"/>
      <w:start w:val="1"/>
    </w:lvl>
  </w:abstractNum>
  <w:abstractNum w:abstractNumId="84">
    <w:nsid w:val="5092CA79"/>
    <w:multiLevelType w:val="hybridMultilevel"/>
    <w:lvl w:ilvl="0">
      <w:lvlJc w:val="left"/>
      <w:lvlText w:val="(%1)"/>
      <w:numFmt w:val="lowerRoman"/>
      <w:start w:val="2"/>
    </w:lvl>
  </w:abstractNum>
  <w:abstractNum w:abstractNumId="85">
    <w:nsid w:val="1D545C4D"/>
    <w:multiLevelType w:val="hybridMultilevel"/>
    <w:lvl w:ilvl="0">
      <w:lvlJc w:val="left"/>
      <w:lvlText w:val="%1."/>
      <w:numFmt w:val="decimal"/>
      <w:start w:val="2"/>
    </w:lvl>
  </w:abstractNum>
  <w:abstractNum w:abstractNumId="86">
    <w:nsid w:val="59ADEA3D"/>
    <w:multiLevelType w:val="hybridMultilevel"/>
    <w:lvl w:ilvl="0">
      <w:lvlJc w:val="left"/>
      <w:lvlText w:val="(%1)"/>
      <w:numFmt w:val="lowerRoman"/>
      <w:start w:val="1"/>
    </w:lvl>
  </w:abstractNum>
  <w:abstractNum w:abstractNumId="87">
    <w:nsid w:val="288F1A34"/>
    <w:multiLevelType w:val="hybridMultilevel"/>
    <w:lvl w:ilvl="0">
      <w:lvlJc w:val="left"/>
      <w:lvlText w:val="(%1)"/>
      <w:numFmt w:val="lowerRoman"/>
      <w:start w:val="1"/>
    </w:lvl>
  </w:abstractNum>
  <w:abstractNum w:abstractNumId="88">
    <w:nsid w:val="2A155DBC"/>
    <w:multiLevelType w:val="hybridMultilevel"/>
    <w:lvl w:ilvl="0">
      <w:lvlJc w:val="left"/>
      <w:lvlText w:val="(%1)"/>
      <w:numFmt w:val="upperLetter"/>
      <w:start w:val="2"/>
    </w:lvl>
    <w:lvl w:ilvl="1">
      <w:lvlJc w:val="left"/>
      <w:lvlText w:val="-"/>
      <w:numFmt w:val="bullet"/>
      <w:start w:val="1"/>
    </w:lvl>
  </w:abstractNum>
  <w:abstractNum w:abstractNumId="89">
    <w:nsid w:val="1D9F6E5F"/>
    <w:multiLevelType w:val="hybridMultilevel"/>
    <w:lvl w:ilvl="0">
      <w:lvlJc w:val="left"/>
      <w:lvlText w:val="(%1)"/>
      <w:numFmt w:val="lowerRoman"/>
      <w:start w:val="2"/>
    </w:lvl>
  </w:abstractNum>
  <w:abstractNum w:abstractNumId="90">
    <w:nsid w:val="97E1B4E"/>
    <w:multiLevelType w:val="hybridMultilevel"/>
    <w:lvl w:ilvl="0">
      <w:lvlJc w:val="left"/>
      <w:lvlText w:val="(%1)"/>
      <w:numFmt w:val="lowerRoman"/>
      <w:start w:val="2"/>
    </w:lvl>
    <w:lvl w:ilvl="1">
      <w:lvlJc w:val="left"/>
      <w:lvlText w:val="-"/>
      <w:numFmt w:val="bullet"/>
      <w:start w:val="1"/>
    </w:lvl>
  </w:abstractNum>
  <w:abstractNum w:abstractNumId="91">
    <w:nsid w:val="51088277"/>
    <w:multiLevelType w:val="hybridMultilevel"/>
    <w:lvl w:ilvl="0">
      <w:lvlJc w:val="left"/>
      <w:lvlText w:val="(%1)"/>
      <w:numFmt w:val="lowerRoman"/>
      <w:start w:val="1"/>
    </w:lvl>
  </w:abstractNum>
  <w:abstractNum w:abstractNumId="92">
    <w:nsid w:val="1CA0C5FA"/>
    <w:multiLevelType w:val="hybridMultilevel"/>
    <w:lvl w:ilvl="0">
      <w:lvlJc w:val="left"/>
      <w:lvlText w:val="(%1)"/>
      <w:numFmt w:val="lowerRoman"/>
      <w:start w:val="1"/>
    </w:lvl>
  </w:abstractNum>
  <w:abstractNum w:abstractNumId="93">
    <w:nsid w:val="53584BCB"/>
    <w:multiLevelType w:val="hybridMultilevel"/>
    <w:lvl w:ilvl="0">
      <w:lvlJc w:val="left"/>
      <w:lvlText w:val="(%1)"/>
      <w:numFmt w:val="lowerRoman"/>
      <w:start w:val="1"/>
    </w:lvl>
  </w:abstractNum>
  <w:abstractNum w:abstractNumId="94">
    <w:nsid w:val="415E286C"/>
    <w:multiLevelType w:val="hybridMultilevel"/>
    <w:lvl w:ilvl="0">
      <w:lvlJc w:val="left"/>
      <w:lvlText w:val="%1."/>
      <w:numFmt w:val="decimal"/>
      <w:start w:val="4"/>
    </w:lvl>
  </w:abstractNum>
  <w:abstractNum w:abstractNumId="95">
    <w:nsid w:val="7C58FD05"/>
    <w:multiLevelType w:val="hybridMultilevel"/>
    <w:lvl w:ilvl="0">
      <w:lvlJc w:val="left"/>
      <w:lvlText w:val="%1."/>
      <w:numFmt w:val="decimal"/>
      <w:start w:val="5"/>
    </w:lvl>
  </w:abstractNum>
  <w:abstractNum w:abstractNumId="96">
    <w:nsid w:val="23D86AAC"/>
    <w:multiLevelType w:val="hybridMultilevel"/>
    <w:lvl w:ilvl="0">
      <w:lvlJc w:val="left"/>
      <w:lvlText w:val="(%1)"/>
      <w:numFmt w:val="lowerRoman"/>
      <w:start w:val="2"/>
    </w:lvl>
    <w:lvl w:ilvl="1">
      <w:lvlJc w:val="left"/>
      <w:lvlText w:val="-"/>
      <w:numFmt w:val="bullet"/>
      <w:start w:val="1"/>
    </w:lvl>
  </w:abstractNum>
  <w:abstractNum w:abstractNumId="97">
    <w:nsid w:val="45E6D486"/>
    <w:multiLevelType w:val="hybridMultilevel"/>
    <w:lvl w:ilvl="0">
      <w:lvlJc w:val="left"/>
      <w:lvlText w:val="%1."/>
      <w:numFmt w:val="decimal"/>
      <w:start w:val="6"/>
    </w:lvl>
  </w:abstractNum>
  <w:abstractNum w:abstractNumId="98">
    <w:nsid w:val="5C10FE21"/>
    <w:multiLevelType w:val="hybridMultilevel"/>
    <w:lvl w:ilvl="0">
      <w:lvlJc w:val="left"/>
      <w:lvlText w:val="%1."/>
      <w:numFmt w:val="decimal"/>
      <w:start w:val="7"/>
    </w:lvl>
  </w:abstractNum>
  <w:abstractNum w:abstractNumId="99">
    <w:nsid w:val="E7FFA2B"/>
    <w:multiLevelType w:val="hybridMultilevel"/>
    <w:lvl w:ilvl="0">
      <w:lvlJc w:val="left"/>
      <w:lvlText w:val="%1."/>
      <w:numFmt w:val="decimal"/>
      <w:start w:val="8"/>
    </w:lvl>
  </w:abstractNum>
  <w:abstractNum w:abstractNumId="100">
    <w:nsid w:val="3C5991AA"/>
    <w:multiLevelType w:val="hybridMultilevel"/>
    <w:lvl w:ilvl="0">
      <w:lvlJc w:val="left"/>
      <w:lvlText w:val="(%1)"/>
      <w:numFmt w:val="lowerRoman"/>
      <w:start w:val="5"/>
    </w:lvl>
  </w:abstractNum>
  <w:abstractNum w:abstractNumId="101">
    <w:nsid w:val="4BD8591A"/>
    <w:multiLevelType w:val="hybridMultilevel"/>
    <w:lvl w:ilvl="0">
      <w:lvlJc w:val="left"/>
      <w:lvlText w:val="%1."/>
      <w:numFmt w:val="decimal"/>
      <w:start w:val="9"/>
    </w:lvl>
  </w:abstractNum>
  <w:abstractNum w:abstractNumId="102">
    <w:nsid w:val="78DF6A55"/>
    <w:multiLevelType w:val="hybridMultilevel"/>
    <w:lvl w:ilvl="0">
      <w:lvlJc w:val="left"/>
      <w:lvlText w:val="(%1)"/>
      <w:numFmt w:val="decimal"/>
      <w:start w:val="5"/>
    </w:lvl>
  </w:abstractNum>
  <w:abstractNum w:abstractNumId="103">
    <w:nsid w:val="39B7AAA2"/>
    <w:multiLevelType w:val="hybridMultilevel"/>
    <w:lvl w:ilvl="0">
      <w:lvlJc w:val="left"/>
      <w:lvlText w:val="(%1)"/>
      <w:numFmt w:val="upperLetter"/>
      <w:start w:val="24"/>
    </w:lvl>
  </w:abstractNum>
  <w:abstractNum w:abstractNumId="104">
    <w:nsid w:val="2B0D8DBE"/>
    <w:multiLevelType w:val="hybridMultilevel"/>
    <w:lvl w:ilvl="0">
      <w:lvlJc w:val="left"/>
      <w:lvlText w:val="%1)"/>
      <w:numFmt w:val="lowerLetter"/>
      <w:start w:val="4"/>
    </w:lvl>
    <w:lvl w:ilvl="1">
      <w:lvlJc w:val="left"/>
      <w:lvlText w:val="%2."/>
      <w:numFmt w:val="lowerRoman"/>
      <w:start w:val="1"/>
    </w:lvl>
  </w:abstractNum>
  <w:abstractNum w:abstractNumId="105">
    <w:nsid w:val="6C80EC70"/>
    <w:multiLevelType w:val="hybridMultilevel"/>
    <w:lvl w:ilvl="0">
      <w:lvlJc w:val="left"/>
      <w:lvlText w:val="%1"/>
      <w:numFmt w:val="upperLetter"/>
      <w:start w:val="1"/>
    </w:lvl>
    <w:lvl w:ilvl="1">
      <w:lvlJc w:val="left"/>
      <w:lvlText w:val="%2."/>
      <w:numFmt w:val="lowerRoman"/>
      <w:start w:val="2"/>
    </w:lvl>
  </w:abstractNum>
  <w:abstractNum w:abstractNumId="106">
    <w:nsid w:val="379E21B5"/>
    <w:multiLevelType w:val="hybridMultilevel"/>
    <w:lvl w:ilvl="0">
      <w:lvlJc w:val="left"/>
      <w:lvlText w:val="(%1)"/>
      <w:numFmt w:val="upperLetter"/>
      <w:start w:val="1"/>
    </w:lvl>
    <w:lvl w:ilvl="1">
      <w:lvlJc w:val="left"/>
      <w:lvlText w:val="%2"/>
      <w:numFmt w:val="lowerRoman"/>
      <w:start w:val="1"/>
    </w:lvl>
  </w:abstractNum>
  <w:abstractNum w:abstractNumId="107">
    <w:nsid w:val="69E373"/>
    <w:multiLevelType w:val="hybridMultilevel"/>
    <w:lvl w:ilvl="0">
      <w:lvlJc w:val="left"/>
      <w:lvlText w:val="%1."/>
      <w:numFmt w:val="lowerRoman"/>
      <w:start w:val="6"/>
    </w:lvl>
  </w:abstractNum>
  <w:abstractNum w:abstractNumId="108">
    <w:nsid w:val="2C27173B"/>
    <w:multiLevelType w:val="hybridMultilevel"/>
    <w:lvl w:ilvl="0">
      <w:lvlJc w:val="left"/>
      <w:lvlText w:val="%1)"/>
      <w:numFmt w:val="lowerLetter"/>
      <w:start w:val="5"/>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4"/>
    </w:lvl>
  </w:abstractNum>
  <w:abstractNum w:abstractNumId="111">
    <w:nsid w:val="1DF029D3"/>
    <w:multiLevelType w:val="hybridMultilevel"/>
    <w:lvl w:ilvl="0">
      <w:lvlJc w:val="left"/>
      <w:lvlText w:val="%1)"/>
      <w:numFmt w:val="lowerLetter"/>
      <w:start w:val="6"/>
    </w:lvl>
    <w:lvl w:ilvl="1">
      <w:lvlJc w:val="left"/>
      <w:lvlText w:val="%2."/>
      <w:numFmt w:val="lowerRoman"/>
      <w:start w:val="1"/>
    </w:lvl>
  </w:abstractNum>
  <w:abstractNum w:abstractNumId="112">
    <w:nsid w:val="5675FF36"/>
    <w:multiLevelType w:val="hybridMultilevel"/>
    <w:lvl w:ilvl="0">
      <w:lvlJc w:val="left"/>
      <w:lvlText w:val="%1."/>
      <w:numFmt w:val="lowerRoman"/>
      <w:start w:val="2"/>
    </w:lvl>
  </w:abstractNum>
  <w:abstractNum w:abstractNumId="113">
    <w:nsid w:val="3DD15094"/>
    <w:multiLevelType w:val="hybridMultilevel"/>
    <w:lvl w:ilvl="0">
      <w:lvlJc w:val="left"/>
      <w:lvlText w:val="%1)"/>
      <w:numFmt w:val="lowerLetter"/>
      <w:start w:val="1"/>
    </w:lvl>
    <w:lvl w:ilvl="1">
      <w:lvlJc w:val="left"/>
      <w:lvlText w:val="%2."/>
      <w:numFmt w:val="lowerRoman"/>
      <w:start w:val="1"/>
    </w:lvl>
  </w:abstractNum>
  <w:abstractNum w:abstractNumId="114">
    <w:nsid w:val="3DB012B3"/>
    <w:multiLevelType w:val="hybridMultilevel"/>
    <w:lvl w:ilvl="0">
      <w:lvlJc w:val="left"/>
      <w:lvlText w:val="%1."/>
      <w:numFmt w:val="lowerRoman"/>
      <w:start w:val="2"/>
    </w:lvl>
  </w:abstractNum>
  <w:abstractNum w:abstractNumId="115">
    <w:nsid w:val="2708C9AF"/>
    <w:multiLevelType w:val="hybridMultilevel"/>
    <w:lvl w:ilvl="0">
      <w:lvlJc w:val="left"/>
      <w:lvlText w:val="%1)"/>
      <w:numFmt w:val="lowerLetter"/>
      <w:start w:val="2"/>
    </w:lvl>
  </w:abstractNum>
  <w:abstractNum w:abstractNumId="116">
    <w:nsid w:val="5B25ACE2"/>
    <w:multiLevelType w:val="hybridMultilevel"/>
    <w:lvl w:ilvl="0">
      <w:lvlJc w:val="left"/>
      <w:lvlText w:val="%1)"/>
      <w:numFmt w:val="lowerLetter"/>
      <w:start w:val="4"/>
    </w:lvl>
  </w:abstractNum>
  <w:abstractNum w:abstractNumId="117">
    <w:nsid w:val="175DFCF0"/>
    <w:multiLevelType w:val="hybridMultilevel"/>
    <w:lvl w:ilvl="0">
      <w:lvlJc w:val="left"/>
      <w:lvlText w:val="(%1)"/>
      <w:numFmt w:val="decimal"/>
      <w:start w:val="2"/>
    </w:lvl>
  </w:abstractNum>
  <w:abstractNum w:abstractNumId="118">
    <w:nsid w:val="4F97E3E4"/>
    <w:multiLevelType w:val="hybridMultilevel"/>
    <w:lvl w:ilvl="0">
      <w:lvlJc w:val="left"/>
      <w:lvlText w:val="%1)"/>
      <w:numFmt w:val="lowerLetter"/>
      <w:start w:val="1"/>
    </w:lvl>
  </w:abstractNum>
  <w:abstractNum w:abstractNumId="119">
    <w:nsid w:val="53B0A9E"/>
    <w:multiLevelType w:val="hybridMultilevel"/>
    <w:lvl w:ilvl="0">
      <w:lvlJc w:val="left"/>
      <w:lvlText w:val="%1)"/>
      <w:numFmt w:val="lowerLetter"/>
      <w:start w:val="5"/>
    </w:lvl>
  </w:abstractNum>
  <w:abstractNum w:abstractNumId="120">
    <w:nsid w:val="34FD6B4F"/>
    <w:multiLevelType w:val="hybridMultilevel"/>
    <w:lvl w:ilvl="0">
      <w:lvlJc w:val="left"/>
      <w:lvlText w:val="%1)"/>
      <w:numFmt w:val="lowerLetter"/>
      <w:start w:val="8"/>
    </w:lvl>
  </w:abstractNum>
  <w:abstractNum w:abstractNumId="121">
    <w:nsid w:val="5915FF32"/>
    <w:multiLevelType w:val="hybridMultilevel"/>
    <w:lvl w:ilvl="0">
      <w:lvlJc w:val="left"/>
      <w:lvlText w:val="(%1)"/>
      <w:numFmt w:val="decimal"/>
      <w:start w:val="1"/>
    </w:lvl>
  </w:abstractNum>
  <w:abstractNum w:abstractNumId="122">
    <w:nsid w:val="56438D15"/>
    <w:multiLevelType w:val="hybridMultilevel"/>
    <w:lvl w:ilvl="0">
      <w:lvlJc w:val="left"/>
      <w:lvlText w:val="(%1)"/>
      <w:numFmt w:val="decimal"/>
      <w:start w:val="2"/>
    </w:lvl>
    <w:lvl w:ilvl="1">
      <w:lvlJc w:val="left"/>
      <w:lvlText w:val="["/>
      <w:numFmt w:val="bullet"/>
      <w:start w:val="1"/>
    </w:lvl>
  </w:abstractNum>
  <w:abstractNum w:abstractNumId="123">
    <w:nsid w:val="519E3149"/>
    <w:multiLevelType w:val="hybridMultilevel"/>
    <w:lvl w:ilvl="0">
      <w:lvlJc w:val="left"/>
      <w:lvlText w:val="(%1)"/>
      <w:numFmt w:val="decimal"/>
      <w:start w:val="4"/>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decimal"/>
      <w:start w:val="6"/>
    </w:lvl>
  </w:abstractNum>
  <w:abstractNum w:abstractNumId="126">
    <w:nsid w:val="4DF72E4E"/>
    <w:multiLevelType w:val="hybridMultilevel"/>
    <w:lvl w:ilvl="0">
      <w:lvlJc w:val="left"/>
      <w:lvlText w:val="%1."/>
      <w:numFmt w:val="decimal"/>
      <w:start w:val="2"/>
    </w:lvl>
  </w:abstractNum>
  <w:abstractNum w:abstractNumId="127">
    <w:nsid w:val="5046B5A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71"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jpeg"/><Relationship Id="rId357" Type="http://schemas.openxmlformats.org/officeDocument/2006/relationships/image" Target="media/image326.png"/><Relationship Id="rId358" Type="http://schemas.openxmlformats.org/officeDocument/2006/relationships/image" Target="media/image327.png"/><Relationship Id="rId252" Type="http://schemas.openxmlformats.org/officeDocument/2006/relationships/hyperlink" Target="http://www.sec.gov/Archives/edgar/data/0001842952/000119312521175568/d46596dex31.htm" TargetMode="External"/><Relationship Id="rId253" Type="http://schemas.openxmlformats.org/officeDocument/2006/relationships/hyperlink" Target="http://www.sec.gov/Archives/edgar/data/0001842952/000119312521192240/d46596dex33.htm" TargetMode="External"/><Relationship Id="rId254" Type="http://schemas.openxmlformats.org/officeDocument/2006/relationships/hyperlink" Target="http://www.sec.gov/Archives/edgar/data/0001842952/000119312521175568/d46596dex33.htm" TargetMode="External"/><Relationship Id="rId255" Type="http://schemas.openxmlformats.org/officeDocument/2006/relationships/hyperlink" Target="http://www.sec.gov/Archives/edgar/data/0001842952/000119312521192240/d46596dex35.htm" TargetMode="External"/><Relationship Id="rId256" Type="http://schemas.openxmlformats.org/officeDocument/2006/relationships/hyperlink" Target="http://www.sec.gov/Archives/edgar/data/0001842952/000119312521175568/d46596dex41.htm" TargetMode="External"/><Relationship Id="rId257" Type="http://schemas.openxmlformats.org/officeDocument/2006/relationships/hyperlink" Target="http://www.sec.gov/Archives/edgar/data/0001842952/000119312521175568/d46596dex42.htm" TargetMode="External"/><Relationship Id="rId258" Type="http://schemas.openxmlformats.org/officeDocument/2006/relationships/hyperlink" Target="http://www.sec.gov/Archives/edgar/data/0001842952/000119312521175568/d46596dex43.htm" TargetMode="External"/><Relationship Id="rId259" Type="http://schemas.openxmlformats.org/officeDocument/2006/relationships/hyperlink" Target="http://www.sec.gov/Archives/edgar/data/0001842952/000119312521175568/d46596dex44.htm" TargetMode="External"/><Relationship Id="rId260" Type="http://schemas.openxmlformats.org/officeDocument/2006/relationships/hyperlink" Target="http://www.sec.gov/Archives/edgar/data/0001842952/000119312521175568/d46596dex101.htm" TargetMode="External"/><Relationship Id="rId261" Type="http://schemas.openxmlformats.org/officeDocument/2006/relationships/hyperlink" Target="http://www.sec.gov/Archives/edgar/data/0001842952/000119312521175568/d46596dex102.htm" TargetMode="External"/><Relationship Id="rId262" Type="http://schemas.openxmlformats.org/officeDocument/2006/relationships/hyperlink" Target="http://www.sec.gov/Archives/edgar/data/0001842952/000119312521175568/d46596dex103.htm" TargetMode="External"/><Relationship Id="rId263" Type="http://schemas.openxmlformats.org/officeDocument/2006/relationships/hyperlink" Target="http://www.sec.gov/Archives/edgar/data/0001842952/000119312521192240/d46596dex104.htm" TargetMode="External"/><Relationship Id="rId264" Type="http://schemas.openxmlformats.org/officeDocument/2006/relationships/hyperlink" Target="http://www.sec.gov/Archives/edgar/data/0001842952/000119312521175568/d46596dex104.htm" TargetMode="External"/><Relationship Id="rId265" Type="http://schemas.openxmlformats.org/officeDocument/2006/relationships/hyperlink" Target="http://www.sec.gov/Archives/edgar/data/0001842952/000119312521175568/d46596dex105.htm" TargetMode="External"/><Relationship Id="rId266" Type="http://schemas.openxmlformats.org/officeDocument/2006/relationships/hyperlink" Target="http://www.sec.gov/Archives/edgar/data/0001842952/000119312521175568/d46596dex106.htm" TargetMode="External"/><Relationship Id="rId267" Type="http://schemas.openxmlformats.org/officeDocument/2006/relationships/hyperlink" Target="http://www.sec.gov/Archives/edgar/data/0001842952/000119312521175568/d46596dex107.htm" TargetMode="External"/><Relationship Id="rId268" Type="http://schemas.openxmlformats.org/officeDocument/2006/relationships/hyperlink" Target="http://www.sec.gov/Archives/edgar/data/0001842952/000119312521175568/d46596dex108.htm" TargetMode="External"/><Relationship Id="rId269" Type="http://schemas.openxmlformats.org/officeDocument/2006/relationships/hyperlink" Target="http://www.sec.gov/Archives/edgar/data/0001842952/000119312521192240/d46596dex1010.htm" TargetMode="External"/><Relationship Id="rId270" Type="http://schemas.openxmlformats.org/officeDocument/2006/relationships/hyperlink" Target="http://www.sec.gov/Archives/edgar/data/0001842952/000119312521175568/d46596dex1010.htm" TargetMode="External"/><Relationship Id="rId272" Type="http://schemas.openxmlformats.org/officeDocument/2006/relationships/hyperlink" Target="http://www.sec.gov/Archives/edgar/data/0001842952/000119312521175568/d46596dex1011.htm" TargetMode="External"/><Relationship Id="rId273" Type="http://schemas.openxmlformats.org/officeDocument/2006/relationships/hyperlink" Target="http://www.sec.gov/Archives/edgar/data/0001842952/000119312521175568/d46596dex1012.htm" TargetMode="External"/><Relationship Id="rId274" Type="http://schemas.openxmlformats.org/officeDocument/2006/relationships/hyperlink" Target="http://www.sec.gov/Archives/edgar/data/0001842952/000119312521175568/d46596dex1013.htm" TargetMode="External"/><Relationship Id="rId275" Type="http://schemas.openxmlformats.org/officeDocument/2006/relationships/hyperlink" Target="http://www.sec.gov/Archives/edgar/data/0001842952/000119312521175568/d46596dex211.htm" TargetMode="External"/><Relationship Id="rId276" Type="http://schemas.openxmlformats.org/officeDocument/2006/relationships/hyperlink" Target="http://www.sec.gov/Archives/edgar/data/1842952/000119312521175568/d46596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2021-07-02T05:14:38Z</dcterms:created>
  <dcterms:modified xsi:type="dcterms:W3CDTF">2021-07-02T05:14:38Z</dcterms:modified>
</cp:coreProperties>
</file>