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20,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CONTEXT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3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ind w:right="41"/>
              <w:spacing w:after="0"/>
              <w:rPr>
                <w:sz w:val="20"/>
                <w:szCs w:val="20"/>
                <w:color w:val="auto"/>
              </w:rPr>
            </w:pPr>
            <w:r>
              <w:rPr>
                <w:rFonts w:ascii="Arial" w:cs="Arial" w:eastAsia="Arial" w:hAnsi="Arial"/>
                <w:sz w:val="18"/>
                <w:szCs w:val="18"/>
                <w:b w:val="1"/>
                <w:bCs w:val="1"/>
                <w:color w:val="auto"/>
              </w:rPr>
              <w:t>47-2566423</w:t>
            </w:r>
          </w:p>
        </w:tc>
      </w:tr>
      <w:tr>
        <w:trPr>
          <w:trHeight w:val="148"/>
        </w:trPr>
        <w:tc>
          <w:tcPr>
            <w:tcW w:w="430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2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4"/>
              </w:rPr>
              <w:t>incorporation or organization)</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3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3675 Market Street, Suite 200</w:t>
            </w:r>
          </w:p>
        </w:tc>
        <w:tc>
          <w:tcPr>
            <w:tcW w:w="3020" w:type="dxa"/>
            <w:vAlign w:val="bottom"/>
          </w:tcPr>
          <w:p>
            <w:pPr>
              <w:spacing w:after="0"/>
              <w:rPr>
                <w:sz w:val="24"/>
                <w:szCs w:val="24"/>
                <w:color w:val="auto"/>
              </w:rPr>
            </w:pPr>
          </w:p>
        </w:tc>
      </w:tr>
      <w:tr>
        <w:trPr>
          <w:trHeight w:val="225"/>
        </w:trPr>
        <w:tc>
          <w:tcPr>
            <w:tcW w:w="4300" w:type="dxa"/>
            <w:vAlign w:val="bottom"/>
          </w:tcPr>
          <w:p>
            <w:pPr>
              <w:jc w:val="center"/>
              <w:ind w:right="1819"/>
              <w:spacing w:after="0"/>
              <w:rPr>
                <w:sz w:val="20"/>
                <w:szCs w:val="20"/>
                <w:color w:val="auto"/>
              </w:rPr>
            </w:pPr>
            <w:r>
              <w:rPr>
                <w:rFonts w:ascii="Arial" w:cs="Arial" w:eastAsia="Arial" w:hAnsi="Arial"/>
                <w:sz w:val="18"/>
                <w:szCs w:val="18"/>
                <w:b w:val="1"/>
                <w:bCs w:val="1"/>
                <w:color w:val="auto"/>
                <w:w w:val="89"/>
              </w:rPr>
              <w:t>Philadelphia, Pennsylvania</w:t>
            </w:r>
          </w:p>
        </w:tc>
        <w:tc>
          <w:tcPr>
            <w:tcW w:w="3020" w:type="dxa"/>
            <w:vAlign w:val="bottom"/>
          </w:tcPr>
          <w:p>
            <w:pPr>
              <w:jc w:val="right"/>
              <w:ind w:right="261"/>
              <w:spacing w:after="0"/>
              <w:rPr>
                <w:sz w:val="20"/>
                <w:szCs w:val="20"/>
                <w:color w:val="auto"/>
              </w:rPr>
            </w:pPr>
            <w:r>
              <w:rPr>
                <w:rFonts w:ascii="Arial" w:cs="Arial" w:eastAsia="Arial" w:hAnsi="Arial"/>
                <w:sz w:val="18"/>
                <w:szCs w:val="18"/>
                <w:b w:val="1"/>
                <w:bCs w:val="1"/>
                <w:color w:val="auto"/>
              </w:rPr>
              <w:t>19104</w:t>
            </w:r>
          </w:p>
        </w:tc>
      </w:tr>
      <w:tr>
        <w:trPr>
          <w:trHeight w:val="186"/>
        </w:trPr>
        <w:tc>
          <w:tcPr>
            <w:tcW w:w="43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2"/>
              </w:rPr>
              <w:t>(Address of Principal Executive Office)</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Context Therapeutics Inc. 2021 Long-Term Performance Incentive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titles of the plans)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Martin Lehr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Context Therapeutics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3675 Market Street,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Pennsylvania 19104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(267) 225-7416</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telephone number, including area code, and zip code, of agent for service)</w:t>
      </w:r>
    </w:p>
    <w:p>
      <w:pPr>
        <w:spacing w:after="0" w:line="196" w:lineRule="exact"/>
        <w:rPr>
          <w:sz w:val="24"/>
          <w:szCs w:val="24"/>
          <w:color w:val="auto"/>
        </w:rPr>
      </w:pPr>
    </w:p>
    <w:tbl>
      <w:tblPr>
        <w:tblLayout w:type="fixed"/>
        <w:tblInd w:w="46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3720" w:type="dxa"/>
            <w:vAlign w:val="bottom"/>
          </w:tcPr>
          <w:p>
            <w:pPr>
              <w:ind w:left="1340"/>
              <w:spacing w:after="0"/>
              <w:rPr>
                <w:sz w:val="20"/>
                <w:szCs w:val="20"/>
                <w:color w:val="auto"/>
              </w:rPr>
            </w:pPr>
            <w:r>
              <w:rPr>
                <w:rFonts w:ascii="Arial" w:cs="Arial" w:eastAsia="Arial" w:hAnsi="Arial"/>
                <w:sz w:val="18"/>
                <w:szCs w:val="18"/>
                <w:b w:val="1"/>
                <w:bCs w:val="1"/>
                <w:i w:val="1"/>
                <w:iCs w:val="1"/>
                <w:color w:val="auto"/>
              </w:rPr>
              <w:t>Copies to:</w:t>
            </w:r>
          </w:p>
        </w:tc>
        <w:tc>
          <w:tcPr>
            <w:tcW w:w="2860" w:type="dxa"/>
            <w:vAlign w:val="bottom"/>
          </w:tcPr>
          <w:p>
            <w:pPr>
              <w:spacing w:after="0"/>
              <w:rPr>
                <w:sz w:val="20"/>
                <w:szCs w:val="20"/>
                <w:color w:val="auto"/>
              </w:rPr>
            </w:pPr>
          </w:p>
        </w:tc>
      </w:tr>
      <w:tr>
        <w:trPr>
          <w:trHeight w:val="441"/>
        </w:trPr>
        <w:tc>
          <w:tcPr>
            <w:tcW w:w="334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Walter J. Mosteck, Esq.</w:t>
            </w:r>
          </w:p>
        </w:tc>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4"/>
              </w:rPr>
              <w:t>Alex Levit</w:t>
            </w:r>
          </w:p>
        </w:tc>
        <w:tc>
          <w:tcPr>
            <w:tcW w:w="2860" w:type="dxa"/>
            <w:vAlign w:val="bottom"/>
          </w:tcPr>
          <w:p>
            <w:pPr>
              <w:jc w:val="center"/>
              <w:ind w:left="510"/>
              <w:spacing w:after="0"/>
              <w:rPr>
                <w:sz w:val="20"/>
                <w:szCs w:val="20"/>
                <w:color w:val="auto"/>
              </w:rPr>
            </w:pPr>
            <w:r>
              <w:rPr>
                <w:rFonts w:ascii="Arial" w:cs="Arial" w:eastAsia="Arial" w:hAnsi="Arial"/>
                <w:sz w:val="18"/>
                <w:szCs w:val="18"/>
                <w:b w:val="1"/>
                <w:bCs w:val="1"/>
                <w:color w:val="auto"/>
                <w:w w:val="94"/>
              </w:rPr>
              <w:t>William N. Haddad, Esq.</w:t>
            </w:r>
          </w:p>
        </w:tc>
      </w:tr>
      <w:tr>
        <w:trPr>
          <w:trHeight w:val="216"/>
        </w:trPr>
        <w:tc>
          <w:tcPr>
            <w:tcW w:w="334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Ben A. Stacke, Esq.</w:t>
            </w:r>
          </w:p>
        </w:tc>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2"/>
              </w:rPr>
              <w:t>Chief Legal Officer</w:t>
            </w:r>
          </w:p>
        </w:tc>
        <w:tc>
          <w:tcPr>
            <w:tcW w:w="2860" w:type="dxa"/>
            <w:vAlign w:val="bottom"/>
          </w:tcPr>
          <w:p>
            <w:pPr>
              <w:jc w:val="center"/>
              <w:ind w:left="510"/>
              <w:spacing w:after="0"/>
              <w:rPr>
                <w:sz w:val="20"/>
                <w:szCs w:val="20"/>
                <w:color w:val="auto"/>
              </w:rPr>
            </w:pPr>
            <w:r>
              <w:rPr>
                <w:rFonts w:ascii="Arial" w:cs="Arial" w:eastAsia="Arial" w:hAnsi="Arial"/>
                <w:sz w:val="18"/>
                <w:szCs w:val="18"/>
                <w:b w:val="1"/>
                <w:bCs w:val="1"/>
                <w:color w:val="auto"/>
                <w:w w:val="93"/>
              </w:rPr>
              <w:t>Venable, LLP</w:t>
            </w:r>
          </w:p>
        </w:tc>
      </w:tr>
      <w:tr>
        <w:trPr>
          <w:trHeight w:val="216"/>
        </w:trPr>
        <w:tc>
          <w:tcPr>
            <w:tcW w:w="3340" w:type="dxa"/>
            <w:vAlign w:val="bottom"/>
          </w:tcPr>
          <w:p>
            <w:pPr>
              <w:jc w:val="center"/>
              <w:ind w:right="430"/>
              <w:spacing w:after="0"/>
              <w:rPr>
                <w:sz w:val="20"/>
                <w:szCs w:val="20"/>
                <w:color w:val="auto"/>
              </w:rPr>
            </w:pPr>
            <w:r>
              <w:rPr>
                <w:rFonts w:ascii="Arial" w:cs="Arial" w:eastAsia="Arial" w:hAnsi="Arial"/>
                <w:sz w:val="18"/>
                <w:szCs w:val="18"/>
                <w:b w:val="1"/>
                <w:bCs w:val="1"/>
                <w:color w:val="auto"/>
                <w:w w:val="94"/>
              </w:rPr>
              <w:t>Faegre Drinker Biddle &amp; Reath LLP</w:t>
            </w:r>
          </w:p>
        </w:tc>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1"/>
              </w:rPr>
              <w:t>3675 Market Street, Suite 200</w:t>
            </w:r>
          </w:p>
        </w:tc>
        <w:tc>
          <w:tcPr>
            <w:tcW w:w="2860" w:type="dxa"/>
            <w:vAlign w:val="bottom"/>
          </w:tcPr>
          <w:p>
            <w:pPr>
              <w:jc w:val="center"/>
              <w:ind w:left="510"/>
              <w:spacing w:after="0"/>
              <w:rPr>
                <w:sz w:val="20"/>
                <w:szCs w:val="20"/>
                <w:color w:val="auto"/>
              </w:rPr>
            </w:pPr>
            <w:r>
              <w:rPr>
                <w:rFonts w:ascii="Arial" w:cs="Arial" w:eastAsia="Arial" w:hAnsi="Arial"/>
                <w:sz w:val="18"/>
                <w:szCs w:val="18"/>
                <w:b w:val="1"/>
                <w:bCs w:val="1"/>
                <w:color w:val="auto"/>
                <w:w w:val="88"/>
              </w:rPr>
              <w:t>1270 Avenue of the Americas,</w:t>
            </w:r>
          </w:p>
        </w:tc>
      </w:tr>
      <w:tr>
        <w:trPr>
          <w:trHeight w:val="216"/>
        </w:trPr>
        <w:tc>
          <w:tcPr>
            <w:tcW w:w="3340" w:type="dxa"/>
            <w:vAlign w:val="bottom"/>
          </w:tcPr>
          <w:p>
            <w:pPr>
              <w:jc w:val="center"/>
              <w:ind w:right="450"/>
              <w:spacing w:after="0"/>
              <w:rPr>
                <w:sz w:val="20"/>
                <w:szCs w:val="20"/>
                <w:color w:val="auto"/>
              </w:rPr>
            </w:pPr>
            <w:r>
              <w:rPr>
                <w:rFonts w:ascii="Arial" w:cs="Arial" w:eastAsia="Arial" w:hAnsi="Arial"/>
                <w:sz w:val="18"/>
                <w:szCs w:val="18"/>
                <w:b w:val="1"/>
                <w:bCs w:val="1"/>
                <w:color w:val="auto"/>
                <w:w w:val="89"/>
              </w:rPr>
              <w:t>One Logan Square</w:t>
            </w:r>
          </w:p>
        </w:tc>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9"/>
              </w:rPr>
              <w:t>Philadelphia, Pennsylvania 19104</w:t>
            </w:r>
          </w:p>
        </w:tc>
        <w:tc>
          <w:tcPr>
            <w:tcW w:w="2860" w:type="dxa"/>
            <w:vAlign w:val="bottom"/>
          </w:tcPr>
          <w:p>
            <w:pPr>
              <w:jc w:val="center"/>
              <w:ind w:left="510"/>
              <w:spacing w:after="0"/>
              <w:rPr>
                <w:sz w:val="20"/>
                <w:szCs w:val="20"/>
                <w:color w:val="auto"/>
              </w:rPr>
            </w:pPr>
            <w:r>
              <w:rPr>
                <w:rFonts w:ascii="Arial" w:cs="Arial" w:eastAsia="Arial" w:hAnsi="Arial"/>
                <w:sz w:val="18"/>
                <w:szCs w:val="18"/>
                <w:b w:val="1"/>
                <w:bCs w:val="1"/>
                <w:color w:val="auto"/>
                <w:w w:val="94"/>
              </w:rPr>
              <w:t>24th Floor</w:t>
            </w:r>
          </w:p>
        </w:tc>
      </w:tr>
      <w:tr>
        <w:trPr>
          <w:trHeight w:val="216"/>
        </w:trPr>
        <w:tc>
          <w:tcPr>
            <w:tcW w:w="334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Philadelphia, Pennsylvania 19103</w:t>
            </w:r>
          </w:p>
        </w:tc>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2"/>
              </w:rPr>
              <w:t>Tel.: (267) 225-7416</w:t>
            </w:r>
          </w:p>
        </w:tc>
        <w:tc>
          <w:tcPr>
            <w:tcW w:w="2860" w:type="dxa"/>
            <w:vAlign w:val="bottom"/>
          </w:tcPr>
          <w:p>
            <w:pPr>
              <w:jc w:val="center"/>
              <w:ind w:left="510"/>
              <w:spacing w:after="0"/>
              <w:rPr>
                <w:sz w:val="20"/>
                <w:szCs w:val="20"/>
                <w:color w:val="auto"/>
              </w:rPr>
            </w:pPr>
            <w:r>
              <w:rPr>
                <w:rFonts w:ascii="Arial" w:cs="Arial" w:eastAsia="Arial" w:hAnsi="Arial"/>
                <w:sz w:val="18"/>
                <w:szCs w:val="18"/>
                <w:b w:val="1"/>
                <w:bCs w:val="1"/>
                <w:color w:val="auto"/>
                <w:w w:val="91"/>
              </w:rPr>
              <w:t>New York, New York 10020</w:t>
            </w:r>
          </w:p>
        </w:tc>
      </w:tr>
      <w:tr>
        <w:trPr>
          <w:trHeight w:val="234"/>
        </w:trPr>
        <w:tc>
          <w:tcPr>
            <w:tcW w:w="334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Tel.: (215) 988-3330</w:t>
            </w:r>
          </w:p>
        </w:tc>
        <w:tc>
          <w:tcPr>
            <w:tcW w:w="3720" w:type="dxa"/>
            <w:vAlign w:val="bottom"/>
          </w:tcPr>
          <w:p>
            <w:pPr>
              <w:spacing w:after="0"/>
              <w:rPr>
                <w:sz w:val="20"/>
                <w:szCs w:val="20"/>
                <w:color w:val="auto"/>
              </w:rPr>
            </w:pPr>
          </w:p>
        </w:tc>
        <w:tc>
          <w:tcPr>
            <w:tcW w:w="2860" w:type="dxa"/>
            <w:vAlign w:val="bottom"/>
          </w:tcPr>
          <w:p>
            <w:pPr>
              <w:jc w:val="center"/>
              <w:ind w:left="510"/>
              <w:spacing w:after="0"/>
              <w:rPr>
                <w:sz w:val="20"/>
                <w:szCs w:val="20"/>
                <w:color w:val="auto"/>
              </w:rPr>
            </w:pPr>
            <w:r>
              <w:rPr>
                <w:rFonts w:ascii="Arial" w:cs="Arial" w:eastAsia="Arial" w:hAnsi="Arial"/>
                <w:sz w:val="18"/>
                <w:szCs w:val="18"/>
                <w:b w:val="1"/>
                <w:bCs w:val="1"/>
                <w:color w:val="auto"/>
                <w:w w:val="90"/>
              </w:rPr>
              <w:t>Tel.: (212) 503-9812</w:t>
            </w:r>
          </w:p>
        </w:tc>
      </w:tr>
    </w:tbl>
    <w:p>
      <w:pPr>
        <w:spacing w:after="0" w:line="215"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4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vMerge w:val="restart"/>
          </w:tcPr>
          <w:p>
            <w:pPr>
              <w:ind w:left="1880"/>
              <w:spacing w:after="0"/>
              <w:rPr>
                <w:sz w:val="20"/>
                <w:szCs w:val="20"/>
                <w:color w:val="auto"/>
              </w:rPr>
            </w:pPr>
            <w:r>
              <w:rPr>
                <w:rFonts w:ascii="Arial" w:cs="Arial" w:eastAsia="Arial" w:hAnsi="Arial"/>
                <w:sz w:val="14"/>
                <w:szCs w:val="14"/>
                <w:b w:val="1"/>
                <w:bCs w:val="1"/>
                <w:color w:val="auto"/>
              </w:rPr>
              <w:t>Title of Securities</w:t>
            </w:r>
          </w:p>
        </w:tc>
        <w:tc>
          <w:tcPr>
            <w:tcW w:w="1540" w:type="dxa"/>
            <w:vAlign w:val="bottom"/>
            <w:tcBorders>
              <w:right w:val="single" w:sz="8" w:color="auto"/>
            </w:tcBorders>
            <w:vMerge w:val="restart"/>
          </w:tcPr>
          <w:p>
            <w:pPr>
              <w:ind w:left="360"/>
              <w:spacing w:after="0"/>
              <w:rPr>
                <w:sz w:val="20"/>
                <w:szCs w:val="20"/>
                <w:color w:val="auto"/>
              </w:rPr>
            </w:pPr>
            <w:r>
              <w:rPr>
                <w:rFonts w:ascii="Arial" w:cs="Arial" w:eastAsia="Arial" w:hAnsi="Arial"/>
                <w:sz w:val="14"/>
                <w:szCs w:val="14"/>
                <w:b w:val="1"/>
                <w:bCs w:val="1"/>
                <w:color w:val="auto"/>
              </w:rPr>
              <w:t>Amount To Be</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Amount Of</w:t>
            </w:r>
          </w:p>
        </w:tc>
        <w:tc>
          <w:tcPr>
            <w:tcW w:w="0" w:type="dxa"/>
            <w:vAlign w:val="bottom"/>
          </w:tcPr>
          <w:p>
            <w:pPr>
              <w:spacing w:after="0"/>
              <w:rPr>
                <w:sz w:val="1"/>
                <w:szCs w:val="1"/>
                <w:color w:val="auto"/>
              </w:rPr>
            </w:pPr>
          </w:p>
        </w:tc>
      </w:tr>
      <w:tr>
        <w:trPr>
          <w:trHeight w:val="144"/>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4"/>
              </w:rPr>
              <w:t>Aggregate Offering</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880" w:type="dxa"/>
            <w:vAlign w:val="bottom"/>
            <w:tcBorders>
              <w:bottom w:val="single" w:sz="8" w:color="auto"/>
              <w:right w:val="single" w:sz="8" w:color="auto"/>
            </w:tcBorders>
          </w:tcPr>
          <w:p>
            <w:pPr>
              <w:ind w:left="1900"/>
              <w:spacing w:after="0"/>
              <w:rPr>
                <w:sz w:val="20"/>
                <w:szCs w:val="20"/>
                <w:color w:val="auto"/>
              </w:rPr>
            </w:pPr>
            <w:r>
              <w:rPr>
                <w:rFonts w:ascii="Arial" w:cs="Arial" w:eastAsia="Arial" w:hAnsi="Arial"/>
                <w:sz w:val="14"/>
                <w:szCs w:val="14"/>
                <w:b w:val="1"/>
                <w:bCs w:val="1"/>
                <w:color w:val="auto"/>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95"/>
        </w:trPr>
        <w:tc>
          <w:tcPr>
            <w:tcW w:w="48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1"/>
              </w:rPr>
              <w:t>Common Stock, $0.001 par value per share, reserved for issuance</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0"/>
              </w:rPr>
              <w:t>pursuant to options granted under the 2021 Long-Term Incentive</w:t>
            </w:r>
          </w:p>
        </w:tc>
        <w:tc>
          <w:tcPr>
            <w:tcW w:w="15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436,437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$5.69(5)</w:t>
            </w:r>
          </w:p>
        </w:tc>
        <w:tc>
          <w:tcPr>
            <w:tcW w:w="1540" w:type="dxa"/>
            <w:vAlign w:val="bottom"/>
            <w:tcBorders>
              <w:bottom w:val="single" w:sz="8" w:color="auto"/>
              <w:right w:val="single" w:sz="8" w:color="auto"/>
            </w:tcBorders>
          </w:tcPr>
          <w:p>
            <w:pPr>
              <w:jc w:val="right"/>
              <w:ind w:right="143"/>
              <w:spacing w:after="0"/>
              <w:rPr>
                <w:sz w:val="20"/>
                <w:szCs w:val="20"/>
                <w:color w:val="auto"/>
              </w:rPr>
            </w:pPr>
            <w:r>
              <w:rPr>
                <w:rFonts w:ascii="Arial" w:cs="Arial" w:eastAsia="Arial" w:hAnsi="Arial"/>
                <w:sz w:val="18"/>
                <w:szCs w:val="18"/>
                <w:color w:val="auto"/>
              </w:rPr>
              <w:t>$2,483,326.53</w:t>
            </w:r>
          </w:p>
        </w:tc>
        <w:tc>
          <w:tcPr>
            <w:tcW w:w="1520" w:type="dxa"/>
            <w:vAlign w:val="bottom"/>
            <w:tcBorders>
              <w:bottom w:val="single" w:sz="8" w:color="auto"/>
            </w:tcBorders>
          </w:tcPr>
          <w:p>
            <w:pPr>
              <w:jc w:val="right"/>
              <w:ind w:right="359"/>
              <w:spacing w:after="0"/>
              <w:rPr>
                <w:sz w:val="20"/>
                <w:szCs w:val="20"/>
                <w:color w:val="auto"/>
              </w:rPr>
            </w:pPr>
            <w:r>
              <w:rPr>
                <w:rFonts w:ascii="Arial" w:cs="Arial" w:eastAsia="Arial" w:hAnsi="Arial"/>
                <w:sz w:val="18"/>
                <w:szCs w:val="18"/>
                <w:color w:val="auto"/>
              </w:rPr>
              <w:t>$230.21</w:t>
            </w:r>
          </w:p>
        </w:tc>
        <w:tc>
          <w:tcPr>
            <w:tcW w:w="0" w:type="dxa"/>
            <w:vAlign w:val="bottom"/>
          </w:tcPr>
          <w:p>
            <w:pPr>
              <w:spacing w:after="0"/>
              <w:rPr>
                <w:sz w:val="1"/>
                <w:szCs w:val="1"/>
                <w:color w:val="auto"/>
              </w:rPr>
            </w:pPr>
          </w:p>
        </w:tc>
      </w:tr>
      <w:tr>
        <w:trPr>
          <w:trHeight w:val="195"/>
        </w:trPr>
        <w:tc>
          <w:tcPr>
            <w:tcW w:w="48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1"/>
              </w:rPr>
              <w:t>Common Stock, $0.001 par value per share, reserved for issuance</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pursuant to restricted stock units granted under the 2021 Long-</w:t>
            </w:r>
          </w:p>
        </w:tc>
        <w:tc>
          <w:tcPr>
            <w:tcW w:w="15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Term Incentive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33,398 (3)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$5.00(6)</w:t>
            </w:r>
          </w:p>
        </w:tc>
        <w:tc>
          <w:tcPr>
            <w:tcW w:w="1540" w:type="dxa"/>
            <w:vAlign w:val="bottom"/>
            <w:tcBorders>
              <w:bottom w:val="single" w:sz="8" w:color="auto"/>
              <w:right w:val="single" w:sz="8" w:color="auto"/>
            </w:tcBorders>
          </w:tcPr>
          <w:p>
            <w:pPr>
              <w:jc w:val="right"/>
              <w:ind w:right="323"/>
              <w:spacing w:after="0"/>
              <w:rPr>
                <w:sz w:val="20"/>
                <w:szCs w:val="20"/>
                <w:color w:val="auto"/>
              </w:rPr>
            </w:pPr>
            <w:r>
              <w:rPr>
                <w:rFonts w:ascii="Arial" w:cs="Arial" w:eastAsia="Arial" w:hAnsi="Arial"/>
                <w:sz w:val="18"/>
                <w:szCs w:val="18"/>
                <w:color w:val="auto"/>
              </w:rPr>
              <w:t>$166,990</w:t>
            </w:r>
          </w:p>
        </w:tc>
        <w:tc>
          <w:tcPr>
            <w:tcW w:w="152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bl>
    <w:p>
      <w:pPr>
        <w:sectPr>
          <w:pgSz w:w="11900" w:h="16838" w:orient="portrait"/>
          <w:cols w:equalWidth="0" w:num="1">
            <w:col w:w="11020"/>
          </w:cols>
          <w:pgMar w:left="440" w:top="229" w:right="439" w:bottom="0" w:gutter="0" w:footer="0" w:header="0"/>
        </w:sectPr>
      </w:pPr>
    </w:p>
    <w:bookmarkStart w:id="1" w:name="page2"/>
    <w:bookmarkEnd w:id="1"/>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48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1"/>
              </w:rPr>
              <w:t>Common Stock, $0.001 par value per share, reserved for issuance</w:t>
            </w:r>
          </w:p>
        </w:tc>
        <w:tc>
          <w:tcPr>
            <w:tcW w:w="1540" w:type="dxa"/>
            <w:vAlign w:val="bottom"/>
            <w:tcBorders>
              <w:top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230"/>
        </w:trPr>
        <w:tc>
          <w:tcPr>
            <w:tcW w:w="4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pursuant to the 2021 Long-Term Incentive Plan</w:t>
            </w:r>
          </w:p>
        </w:tc>
        <w:tc>
          <w:tcPr>
            <w:tcW w:w="154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783,733(4)</w:t>
            </w:r>
          </w:p>
        </w:tc>
        <w:tc>
          <w:tcPr>
            <w:tcW w:w="154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$5.00(6)</w:t>
            </w:r>
          </w:p>
        </w:tc>
        <w:tc>
          <w:tcPr>
            <w:tcW w:w="154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$3,938,665</w:t>
            </w:r>
          </w:p>
        </w:tc>
        <w:tc>
          <w:tcPr>
            <w:tcW w:w="15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$365.12</w:t>
            </w: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$6,588,981.53</w:t>
            </w:r>
          </w:p>
        </w:tc>
        <w:tc>
          <w:tcPr>
            <w:tcW w:w="15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$610.81</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424" w:right="80" w:hanging="424"/>
        <w:spacing w:after="0" w:line="285"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of the Securities Act of 1933, as amended (the “Securities Act”), this Registration Statement shall also cover any additional shares of common stock, par value $0.001 per share (“Common Stock”) of Context Therapeutics Inc. (the “Company”) which become issuable by reason of any future stock dividend, stock split, recapitalization or other similar transaction or to cover such additional shares as may hereinafter be offered or issued to prevent dilution resulting from stock splits, stock dividends, recapitalizations or certain other capital adjustments, effected without the receipt of consideration by the Company, which results in an increase in the number of the outstanding shares of Common Stock.</w:t>
      </w:r>
    </w:p>
    <w:p>
      <w:pPr>
        <w:spacing w:after="0" w:line="1" w:lineRule="exact"/>
        <w:rPr>
          <w:rFonts w:ascii="Arial" w:cs="Arial" w:eastAsia="Arial" w:hAnsi="Arial"/>
          <w:sz w:val="16"/>
          <w:szCs w:val="16"/>
          <w:color w:val="auto"/>
        </w:rPr>
      </w:pPr>
    </w:p>
    <w:p>
      <w:pPr>
        <w:ind w:left="424" w:right="2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subject to options outstanding under the 2021 Long-Term Incentive Plan (the “2021 Plan”). To the extent that awards outstanding under the 2021 Plan are forfeited, lapse unexercised or are settled in cash, the Common Stock subject to such awards will be available for future issuance under the 2021 Plan.</w:t>
      </w:r>
    </w:p>
    <w:p>
      <w:pPr>
        <w:spacing w:after="0" w:line="1" w:lineRule="exact"/>
        <w:rPr>
          <w:rFonts w:ascii="Arial" w:cs="Arial" w:eastAsia="Arial" w:hAnsi="Arial"/>
          <w:sz w:val="18"/>
          <w:szCs w:val="18"/>
          <w:color w:val="auto"/>
        </w:rPr>
      </w:pPr>
    </w:p>
    <w:p>
      <w:pPr>
        <w:ind w:left="424" w:right="18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33,398 unvested shares of Common Stock subject to restricted stock units outstanding under the 2021 Plan. As of the adoption of the 2021 Plan on April 25, 2021, there were 45,922 shares of Common Stock subject to unvested restricted stock units, however, 12,524 shares of Common Stock subject to such restricted stock units have vested. To the extent that awards outstanding under the 2021 Plan are forfeited, lapse unexercised or are settled in cash, the Common Stock subject to such awards will be available for future issuance under the 2021 Plan.</w:t>
      </w:r>
    </w:p>
    <w:p>
      <w:pPr>
        <w:spacing w:after="0" w:line="2" w:lineRule="exact"/>
        <w:rPr>
          <w:rFonts w:ascii="Arial" w:cs="Arial" w:eastAsia="Arial" w:hAnsi="Arial"/>
          <w:sz w:val="16"/>
          <w:szCs w:val="16"/>
          <w:color w:val="auto"/>
        </w:rPr>
      </w:pPr>
    </w:p>
    <w:p>
      <w:pPr>
        <w:ind w:left="424" w:right="24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reserved for issuance under the 2021 Plan. The 2021 Plan also provides that the number of shares reserved for issuance under the 2021 Plan will be increased on January 1 of each year, commencing on January 1, 2022 and ending on (and including) January 1, 2031 in an amount equal to the least of: (i) 4% of the total number of shares of Common Stock outstanding as of December 31 of the immediately preceding calendar year; or (ii) such number of shares of Common Stock as may be determined by our Board of Directors (the “Board”).</w:t>
      </w:r>
    </w:p>
    <w:p>
      <w:pPr>
        <w:spacing w:after="0" w:line="1" w:lineRule="exact"/>
        <w:rPr>
          <w:rFonts w:ascii="Arial" w:cs="Arial" w:eastAsia="Arial" w:hAnsi="Arial"/>
          <w:sz w:val="18"/>
          <w:szCs w:val="18"/>
          <w:color w:val="auto"/>
        </w:rPr>
      </w:pPr>
    </w:p>
    <w:p>
      <w:pPr>
        <w:ind w:left="424" w:right="38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purposes of computing the registration fee only. Pursuant to Rule 457(h) of the Securities Act, the Proposed Maximum Offering Price Per Share is based upon the weighted average exercise price of previously granted stock awards that remain outstanding under the 2021 Plan.</w:t>
      </w:r>
    </w:p>
    <w:p>
      <w:pPr>
        <w:spacing w:after="0" w:line="1" w:lineRule="exact"/>
        <w:rPr>
          <w:rFonts w:ascii="Arial" w:cs="Arial" w:eastAsia="Arial" w:hAnsi="Arial"/>
          <w:sz w:val="16"/>
          <w:szCs w:val="16"/>
          <w:color w:val="auto"/>
        </w:rPr>
      </w:pPr>
    </w:p>
    <w:p>
      <w:pPr>
        <w:ind w:left="424" w:right="18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of the Securities Act solely for the purpose of calculating the registration fee on the basis of the initial public offering price of $5.00 per share of common stock as set forth in the prospectus dated October 19, 2021, relating to the Registrant’s Registration Statement on Form S-1, as amended (File No. 333-256572).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120"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information called for by Part I of Form S-8 is omitted from this Registration Statement (the “Registration Statement”) in accordance with Rule 428 of the Securities Act of 1933, as amended (the “Securities Act”), and the instructions to Form S-8.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Context Therapeutics Inc. (the “Company”) hereby incorporates by reference into this Registration Statement the following documents filed by it with the Commission:</w:t>
      </w:r>
    </w:p>
    <w:p>
      <w:pPr>
        <w:spacing w:after="0" w:line="76" w:lineRule="exact"/>
        <w:rPr>
          <w:sz w:val="20"/>
          <w:szCs w:val="20"/>
          <w:color w:val="auto"/>
        </w:rPr>
      </w:pPr>
    </w:p>
    <w:p>
      <w:pPr>
        <w:ind w:left="960" w:right="140" w:hanging="532"/>
        <w:spacing w:after="0" w:line="255"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Company’s </w:t>
      </w:r>
      <w:hyperlink r:id="rId17">
        <w:r>
          <w:rPr>
            <w:rFonts w:ascii="Arial" w:cs="Arial" w:eastAsia="Arial" w:hAnsi="Arial"/>
            <w:sz w:val="18"/>
            <w:szCs w:val="18"/>
            <w:u w:val="single" w:color="auto"/>
            <w:color w:val="0000EE"/>
          </w:rPr>
          <w:t>prospectus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dated October 19, 2021, filed with the Commission on October 20, 2021 pursuant to Rule 424(b) under the Securities Act, relating to the Company’s registration statement on Form S-1, as amended (File No. 333-256572), which contains audited financial statements for the Company’s latest fiscal year; and</w:t>
      </w:r>
    </w:p>
    <w:p>
      <w:pPr>
        <w:spacing w:after="0" w:line="2" w:lineRule="exact"/>
        <w:rPr>
          <w:rFonts w:ascii="Arial" w:cs="Arial" w:eastAsia="Arial" w:hAnsi="Arial"/>
          <w:sz w:val="18"/>
          <w:szCs w:val="18"/>
          <w:color w:val="auto"/>
        </w:rPr>
      </w:pPr>
    </w:p>
    <w:p>
      <w:pPr>
        <w:ind w:left="960" w:right="300" w:hanging="532"/>
        <w:spacing w:after="0" w:line="255"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Company’s common stock contained in the Company’s registration statement on </w:t>
      </w:r>
      <w:hyperlink r:id="rId18">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001-40654) filed with the Commission on July 23, 2021, under Section 12(b) of the Securities Exchange Act of 1934, as amended (the “Exchange Act”), including any amendments or reports filed for the purpose of updating such description.</w:t>
      </w:r>
    </w:p>
    <w:p>
      <w:pPr>
        <w:spacing w:after="0" w:line="190" w:lineRule="exact"/>
        <w:rPr>
          <w:rFonts w:ascii="Arial" w:cs="Arial" w:eastAsia="Arial" w:hAnsi="Arial"/>
          <w:sz w:val="18"/>
          <w:szCs w:val="18"/>
          <w:color w:val="auto"/>
        </w:rPr>
      </w:pPr>
    </w:p>
    <w:p>
      <w:pPr>
        <w:ind w:right="160" w:firstLine="440"/>
        <w:spacing w:after="0" w:line="275" w:lineRule="auto"/>
        <w:rPr>
          <w:sz w:val="20"/>
          <w:szCs w:val="20"/>
          <w:color w:val="auto"/>
        </w:rPr>
      </w:pPr>
      <w:r>
        <w:rPr>
          <w:rFonts w:ascii="Arial" w:cs="Arial" w:eastAsia="Arial" w:hAnsi="Arial"/>
          <w:sz w:val="17"/>
          <w:szCs w:val="17"/>
          <w:color w:val="auto"/>
        </w:rPr>
        <w:t>In addition, the Company incorporates by reference all documents filed by it pursuant to Section 13(a), 13(c), 14 or 15(d) of the Securities Exchange Act of 1934 (other than, in each case, documents or information deemed to have been furnished and not filed in accordance with SEC rules, unless specifically incorporated by reference into this registration statement) subsequent to the date hereof and prior to the filing of a post-effective amendment which indicates that all securities offered have been sold or which deregisters all securities then remaining unsold. All such incorporated documents shall be deemed to be a part of this registration statement from the date of filing of such documents.</w:t>
      </w:r>
    </w:p>
    <w:p>
      <w:pPr>
        <w:spacing w:after="0" w:line="176" w:lineRule="exact"/>
        <w:rPr>
          <w:rFonts w:ascii="Arial" w:cs="Arial" w:eastAsia="Arial" w:hAnsi="Arial"/>
          <w:sz w:val="18"/>
          <w:szCs w:val="18"/>
          <w:color w:val="auto"/>
        </w:rPr>
      </w:pPr>
    </w:p>
    <w:p>
      <w:pPr>
        <w:ind w:right="20" w:firstLine="440"/>
        <w:spacing w:after="0" w:line="277" w:lineRule="auto"/>
        <w:rPr>
          <w:sz w:val="20"/>
          <w:szCs w:val="20"/>
          <w:color w:val="auto"/>
        </w:rPr>
      </w:pPr>
      <w:r>
        <w:rPr>
          <w:rFonts w:ascii="Arial" w:cs="Arial" w:eastAsia="Arial" w:hAnsi="Arial"/>
          <w:sz w:val="18"/>
          <w:szCs w:val="18"/>
          <w:color w:val="auto"/>
        </w:rPr>
        <w:t>Any statement contained in a document incorporated or deemed to be incorporated by reference into this registration statement shall be deemed to be modified or superseded for purposes of this Registration Statement to</w:t>
      </w:r>
    </w:p>
    <w:p>
      <w:pPr>
        <w:sectPr>
          <w:pgSz w:w="11900" w:h="16838" w:orient="portrait"/>
          <w:cols w:equalWidth="0" w:num="1">
            <w:col w:w="10980"/>
          </w:cols>
          <w:pgMar w:left="440" w:top="270" w:right="479" w:bottom="1440" w:gutter="0" w:footer="0" w:header="0"/>
        </w:sectPr>
      </w:pPr>
    </w:p>
    <w:bookmarkStart w:id="3" w:name="page4"/>
    <w:bookmarkEnd w:id="3"/>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extent that a statement contained in this Registration Statement or in any other subsequently filed document which also is or is deemed to be incorporated into this registration statement modifies or supersedes that statement. Any statement so modified or superseded shall not be deemed, except as so modified or superseded, to constitute a part of this registration statement.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As a Delaware corporation, the Company is subject to the provisions of the General Corporation Law of the State of Delaware (the “Delaware General Corporation Law”).</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Section 145(a)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82"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Section 145(b) of the Delaware General Corporation Law states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if the person acted in good faith and in a manner the person reasonably believed was in or not opposed to the best interests of the corporation and except that no indemnification shall be made in respect of any claim, issue or matter as to which the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the person is fairly and reasonably entitled to indemnity for such expenses as the Delaware Court of Chancery or such other court shall deem proper.</w:t>
      </w:r>
    </w:p>
    <w:p>
      <w:pPr>
        <w:spacing w:after="0" w:line="185"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Section 145(c) of the Delaware General Corporation Law provides that to the extent that a present or former director or officer of a corporation has been successful on the merits or otherwise in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w:t>
      </w:r>
    </w:p>
    <w:p>
      <w:pPr>
        <w:sectPr>
          <w:pgSz w:w="11900" w:h="16838" w:orient="portrait"/>
          <w:cols w:equalWidth="0" w:num="1">
            <w:col w:w="11020"/>
          </w:cols>
          <w:pgMar w:left="440" w:top="274" w:right="439" w:bottom="1440" w:gutter="0" w:footer="0" w:header="0"/>
        </w:sectPr>
      </w:pPr>
    </w:p>
    <w:bookmarkStart w:id="4" w:name="page5"/>
    <w:bookmarkEnd w:id="4"/>
    <w:p>
      <w:pPr>
        <w:ind w:right="14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145(d) of the Delaware General Corporation Law states that any indemnification under subsections (a) and (b) of Section 145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w:t>
      </w:r>
    </w:p>
    <w:p>
      <w:pPr>
        <w:spacing w:after="0" w:line="17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Section 145(f) of the Delaware General Corporation Law states that the indemnification and advancement of expenses provided by, or granted pursuant to, the other subsections of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the certificate of incorporation or the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65"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Section 145(g) of the Delaware General Corporation Law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Section 145 of the Delaware General Corporation Law.</w:t>
      </w:r>
    </w:p>
    <w:p>
      <w:pPr>
        <w:spacing w:after="0" w:line="161" w:lineRule="exact"/>
        <w:rPr>
          <w:sz w:val="20"/>
          <w:szCs w:val="20"/>
          <w:color w:val="auto"/>
        </w:rPr>
      </w:pPr>
    </w:p>
    <w:p>
      <w:pPr>
        <w:jc w:val="both"/>
        <w:ind w:right="260" w:firstLine="440"/>
        <w:spacing w:after="0" w:line="286" w:lineRule="auto"/>
        <w:rPr>
          <w:sz w:val="20"/>
          <w:szCs w:val="20"/>
          <w:color w:val="auto"/>
        </w:rPr>
      </w:pPr>
      <w:r>
        <w:rPr>
          <w:rFonts w:ascii="Arial" w:cs="Arial" w:eastAsia="Arial" w:hAnsi="Arial"/>
          <w:sz w:val="17"/>
          <w:szCs w:val="17"/>
          <w:color w:val="auto"/>
        </w:rPr>
        <w:t>Section 145(j) of the Delaware General Corporation Law states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Company’s amended and restated bylaws authorize the indemnification of its officers and directors, consistent with Section 145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DGCL.</w:t>
      </w:r>
    </w:p>
    <w:p>
      <w:pPr>
        <w:spacing w:after="0" w:line="211"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Reference is made to Section 102(b)(7) of the DGCL, which enables a corporation in its original certificate of incorporation or an amendment thereto to eliminate or limit the personal liability of a director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which provides for liability of directors for unlawful payments of dividends of unlawful stock purchase or redemptions or (iv) for any transaction from which a director derived an improper personal benefit.</w:t>
      </w:r>
    </w:p>
    <w:p>
      <w:pPr>
        <w:spacing w:after="0" w:line="176"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The Company intends to enter into indemnification agreements with each of its directors and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the Company’s subsidiaries or any other company or enterprise to which the person provides services at the Company’s request.</w:t>
      </w:r>
    </w:p>
    <w:p>
      <w:pPr>
        <w:spacing w:after="0" w:line="157"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The Company maintains a general liability insurance policy that covers certain liabilities of directors and officers of the Company arising out of claims based on acts or omissions in their capacities as directors or officers.</w:t>
      </w:r>
    </w:p>
    <w:p>
      <w:pPr>
        <w:sectPr>
          <w:pgSz w:w="11900" w:h="16838" w:orient="portrait"/>
          <w:cols w:equalWidth="0" w:num="1">
            <w:col w:w="10980"/>
          </w:cols>
          <w:pgMar w:left="440" w:top="274"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 Exemption From Registration Claimed</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A list of the exhibits required to be filed as a part of this Registration Statement on Form S-8 is set forth in the Exhibit Index, which follows, and is incorporated herein by reference.</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300" w:type="dxa"/>
            <w:vAlign w:val="bottom"/>
            <w:gridSpan w:val="9"/>
          </w:tcPr>
          <w:p>
            <w:pPr>
              <w:ind w:left="2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9060" w:type="dxa"/>
            <w:vAlign w:val="bottom"/>
            <w:gridSpan w:val="10"/>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906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780" w:type="dxa"/>
            <w:vAlign w:val="bottom"/>
            <w:tcBorders>
              <w:bottom w:val="single" w:sz="8" w:color="0000EE"/>
            </w:tcBorders>
            <w:gridSpan w:val="11"/>
          </w:tcPr>
          <w:p>
            <w:pPr>
              <w:spacing w:after="0"/>
              <w:rPr>
                <w:rFonts w:ascii="Arial" w:cs="Arial" w:eastAsia="Arial" w:hAnsi="Arial"/>
                <w:sz w:val="18"/>
                <w:szCs w:val="18"/>
                <w:color w:val="0000EE"/>
                <w:w w:val="92"/>
              </w:rPr>
            </w:pPr>
            <w:hyperlink r:id="rId22">
              <w:r>
                <w:rPr>
                  <w:rFonts w:ascii="Arial" w:cs="Arial" w:eastAsia="Arial" w:hAnsi="Arial"/>
                  <w:sz w:val="18"/>
                  <w:szCs w:val="18"/>
                  <w:color w:val="0000EE"/>
                  <w:w w:val="92"/>
                </w:rPr>
                <w:t>Form of Amended &amp; Restated Certificate of Incorporation of Context Therapeutics Inc. (incorporated by reference to Exhibit 3.3 to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80" w:type="dxa"/>
            <w:vAlign w:val="bottom"/>
            <w:gridSpan w:val="11"/>
          </w:tcPr>
          <w:p>
            <w:pPr>
              <w:spacing w:after="0" w:line="196" w:lineRule="exact"/>
              <w:rPr>
                <w:rFonts w:ascii="Arial" w:cs="Arial" w:eastAsia="Arial" w:hAnsi="Arial"/>
                <w:sz w:val="18"/>
                <w:szCs w:val="18"/>
                <w:color w:val="0000EE"/>
                <w:w w:val="94"/>
              </w:rPr>
            </w:pPr>
            <w:hyperlink r:id="rId22">
              <w:r>
                <w:rPr>
                  <w:rFonts w:ascii="Arial" w:cs="Arial" w:eastAsia="Arial" w:hAnsi="Arial"/>
                  <w:sz w:val="18"/>
                  <w:szCs w:val="18"/>
                  <w:color w:val="0000EE"/>
                  <w:w w:val="94"/>
                </w:rPr>
                <w:t>Registration Statement on Form S-1, filed with the Securities and Exchange Commission on May 27, 2021) (File no. 333-256572).</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740" w:type="dxa"/>
            <w:vAlign w:val="bottom"/>
            <w:tcBorders>
              <w:bottom w:val="single" w:sz="8" w:color="0000EE"/>
            </w:tcBorders>
            <w:gridSpan w:val="10"/>
          </w:tcPr>
          <w:p>
            <w:pPr>
              <w:spacing w:after="0"/>
              <w:rPr>
                <w:rFonts w:ascii="Arial" w:cs="Arial" w:eastAsia="Arial" w:hAnsi="Arial"/>
                <w:sz w:val="18"/>
                <w:szCs w:val="18"/>
                <w:color w:val="0000EE"/>
                <w:w w:val="91"/>
              </w:rPr>
            </w:pPr>
            <w:hyperlink r:id="rId23">
              <w:r>
                <w:rPr>
                  <w:rFonts w:ascii="Arial" w:cs="Arial" w:eastAsia="Arial" w:hAnsi="Arial"/>
                  <w:sz w:val="18"/>
                  <w:szCs w:val="18"/>
                  <w:color w:val="0000EE"/>
                  <w:w w:val="91"/>
                </w:rPr>
                <w:t>Form of Amended and Restated Bylaws (incorporated by reference to Exhibit 3.5 to the Registration Statement on Form S-1, filed with</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23">
              <w:r>
                <w:rPr>
                  <w:rFonts w:ascii="Arial" w:cs="Arial" w:eastAsia="Arial" w:hAnsi="Arial"/>
                  <w:sz w:val="18"/>
                  <w:szCs w:val="18"/>
                  <w:color w:val="0000EE"/>
                  <w:w w:val="90"/>
                </w:rPr>
                <w:t>the Securities and Exchange Commission on May 27, 2021) (File no. 333-256572).</w:t>
              </w:r>
            </w:hyperlink>
          </w:p>
        </w:tc>
        <w:tc>
          <w:tcPr>
            <w:tcW w:w="37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9780" w:type="dxa"/>
            <w:vAlign w:val="bottom"/>
            <w:gridSpan w:val="11"/>
          </w:tcPr>
          <w:p>
            <w:pPr>
              <w:spacing w:after="0"/>
              <w:rPr>
                <w:rFonts w:ascii="Arial" w:cs="Arial" w:eastAsia="Arial" w:hAnsi="Arial"/>
                <w:sz w:val="18"/>
                <w:szCs w:val="18"/>
                <w:color w:val="0000EE"/>
                <w:w w:val="93"/>
              </w:rPr>
            </w:pPr>
            <w:hyperlink r:id="rId24">
              <w:r>
                <w:rPr>
                  <w:rFonts w:ascii="Arial" w:cs="Arial" w:eastAsia="Arial" w:hAnsi="Arial"/>
                  <w:sz w:val="18"/>
                  <w:szCs w:val="18"/>
                  <w:color w:val="0000EE"/>
                  <w:w w:val="93"/>
                </w:rPr>
                <w:t>Context Therapeutic Inc. 2021 Long-Term Performance Incentive Plan (incorporated by reference to Exhibit 10.7 to the Registration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24">
              <w:r>
                <w:rPr>
                  <w:rFonts w:ascii="Arial" w:cs="Arial" w:eastAsia="Arial" w:hAnsi="Arial"/>
                  <w:sz w:val="18"/>
                  <w:szCs w:val="18"/>
                  <w:color w:val="0000EE"/>
                  <w:w w:val="90"/>
                </w:rPr>
                <w:t>Statement on Form S-1, filed with the Securities and Exchange Commission on May 27, 2021) (File no. 333-256572).</w:t>
              </w:r>
            </w:hyperlink>
          </w:p>
        </w:tc>
        <w:tc>
          <w:tcPr>
            <w:tcW w:w="1040" w:type="dxa"/>
            <w:vAlign w:val="bottom"/>
            <w:tcBorders>
              <w:top w:val="single" w:sz="8" w:color="0000EE"/>
            </w:tcBorders>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9780" w:type="dxa"/>
            <w:vAlign w:val="bottom"/>
            <w:gridSpan w:val="1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Opinion of Faegre Drinker Biddle &amp; Reath LLP.</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9780" w:type="dxa"/>
            <w:vAlign w:val="bottom"/>
            <w:gridSpan w:val="1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Consent of CohnReznick LLP, independent registered public accounting firm.</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5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Consent of Faegre Drinker Biddle &amp; Reath LLP (included in Exhibit 5.1).</w:t>
              </w:r>
            </w:hyperlink>
          </w:p>
        </w:tc>
        <w:tc>
          <w:tcPr>
            <w:tcW w:w="280" w:type="dxa"/>
            <w:vAlign w:val="bottom"/>
            <w:tcBorders>
              <w:top w:val="single" w:sz="8" w:color="0000EE"/>
            </w:tcBorders>
          </w:tcPr>
          <w:p>
            <w:pPr>
              <w:spacing w:after="0"/>
              <w:rPr>
                <w:sz w:val="24"/>
                <w:szCs w:val="24"/>
                <w:color w:val="auto"/>
              </w:rPr>
            </w:pPr>
          </w:p>
        </w:tc>
        <w:tc>
          <w:tcPr>
            <w:tcW w:w="4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9780" w:type="dxa"/>
            <w:vAlign w:val="bottom"/>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Power of Attorney (included on the signature page to this registration statement on Form S-8).</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0820"/>
          </w:cols>
          <w:pgMar w:left="440" w:top="270" w:right="6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City of Philadelphia, State of Pennsylvania, on the 20th day of October, 2021.</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CONTEXT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Martin Lehr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Martin Lehr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Martin Lehr and Richard Berman, and each one of them, as his or her true and lawful attorneys-in-fact and agents, with power to act without any other and with full power of substitution, to do any and all acts and things in our name and behalf in our capacities as directors and officers, to sign any and all amendments (including post-effective amendments) to this registration statement, or any related registration statement that is to be effective upon filing under the Securities Act of 1933, as amended, and to file the same, with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as fully to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6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4800" w:type="dxa"/>
            <w:vAlign w:val="bottom"/>
          </w:tcPr>
          <w:p>
            <w:pPr>
              <w:ind w:left="2400"/>
              <w:spacing w:after="0"/>
              <w:rPr>
                <w:sz w:val="20"/>
                <w:szCs w:val="20"/>
                <w:color w:val="auto"/>
              </w:rPr>
            </w:pPr>
            <w:r>
              <w:rPr>
                <w:rFonts w:ascii="Arial" w:cs="Arial" w:eastAsia="Arial" w:hAnsi="Arial"/>
                <w:sz w:val="14"/>
                <w:szCs w:val="14"/>
                <w:b w:val="1"/>
                <w:bCs w:val="1"/>
                <w:color w:val="auto"/>
              </w:rPr>
              <w:t>Title</w:t>
            </w:r>
          </w:p>
        </w:tc>
        <w:tc>
          <w:tcPr>
            <w:tcW w:w="2040" w:type="dxa"/>
            <w:vAlign w:val="bottom"/>
          </w:tcPr>
          <w:p>
            <w:pPr>
              <w:ind w:left="1020"/>
              <w:spacing w:after="0"/>
              <w:rPr>
                <w:sz w:val="20"/>
                <w:szCs w:val="20"/>
                <w:color w:val="auto"/>
              </w:rPr>
            </w:pPr>
            <w:r>
              <w:rPr>
                <w:rFonts w:ascii="Arial" w:cs="Arial" w:eastAsia="Arial" w:hAnsi="Arial"/>
                <w:sz w:val="14"/>
                <w:szCs w:val="14"/>
                <w:b w:val="1"/>
                <w:bCs w:val="1"/>
                <w:color w:val="auto"/>
              </w:rPr>
              <w:t>Date</w:t>
            </w:r>
          </w:p>
        </w:tc>
      </w:tr>
      <w:tr>
        <w:trPr>
          <w:trHeight w:val="41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5"/>
              </w:rPr>
              <w:t xml:space="preserve">/s/ </w:t>
            </w:r>
            <w:r>
              <w:rPr>
                <w:rFonts w:ascii="Arial" w:cs="Arial" w:eastAsia="Arial" w:hAnsi="Arial"/>
                <w:sz w:val="18"/>
                <w:szCs w:val="18"/>
                <w:color w:val="auto"/>
                <w:w w:val="95"/>
              </w:rPr>
              <w:t>Martin Lehr</w:t>
            </w:r>
          </w:p>
        </w:tc>
        <w:tc>
          <w:tcPr>
            <w:tcW w:w="4800" w:type="dxa"/>
            <w:vAlign w:val="bottom"/>
          </w:tcPr>
          <w:p>
            <w:pPr>
              <w:ind w:left="120"/>
              <w:spacing w:after="0"/>
              <w:rPr>
                <w:sz w:val="20"/>
                <w:szCs w:val="20"/>
                <w:color w:val="auto"/>
              </w:rPr>
            </w:pPr>
            <w:r>
              <w:rPr>
                <w:rFonts w:ascii="Arial" w:cs="Arial" w:eastAsia="Arial" w:hAnsi="Arial"/>
                <w:sz w:val="18"/>
                <w:szCs w:val="18"/>
                <w:i w:val="1"/>
                <w:iCs w:val="1"/>
                <w:color w:val="auto"/>
              </w:rPr>
              <w:t>Chief Executive Officer and Director</w:t>
            </w:r>
          </w:p>
        </w:tc>
        <w:tc>
          <w:tcPr>
            <w:tcW w:w="2040" w:type="dxa"/>
            <w:vAlign w:val="bottom"/>
          </w:tcPr>
          <w:p>
            <w:pPr>
              <w:ind w:left="780"/>
              <w:spacing w:after="0"/>
              <w:rPr>
                <w:sz w:val="20"/>
                <w:szCs w:val="20"/>
                <w:color w:val="auto"/>
              </w:rPr>
            </w:pPr>
            <w:r>
              <w:rPr>
                <w:rFonts w:ascii="Arial" w:cs="Arial" w:eastAsia="Arial" w:hAnsi="Arial"/>
                <w:sz w:val="18"/>
                <w:szCs w:val="18"/>
                <w:color w:val="auto"/>
                <w:w w:val="89"/>
              </w:rPr>
              <w:t>October 20, 2021</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Martin Lehr</w:t>
            </w:r>
          </w:p>
        </w:tc>
        <w:tc>
          <w:tcPr>
            <w:tcW w:w="480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financial and accounting officer)</w:t>
            </w:r>
          </w:p>
        </w:tc>
        <w:tc>
          <w:tcPr>
            <w:tcW w:w="204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 xml:space="preserve">/s/ </w:t>
            </w:r>
            <w:r>
              <w:rPr>
                <w:rFonts w:ascii="Arial" w:cs="Arial" w:eastAsia="Arial" w:hAnsi="Arial"/>
                <w:sz w:val="18"/>
                <w:szCs w:val="18"/>
                <w:color w:val="auto"/>
                <w:w w:val="90"/>
              </w:rPr>
              <w:t>Richard Berman</w:t>
            </w:r>
          </w:p>
        </w:tc>
        <w:tc>
          <w:tcPr>
            <w:tcW w:w="4800" w:type="dxa"/>
            <w:vAlign w:val="bottom"/>
          </w:tcPr>
          <w:p>
            <w:pPr>
              <w:ind w:left="120"/>
              <w:spacing w:after="0"/>
              <w:rPr>
                <w:sz w:val="20"/>
                <w:szCs w:val="20"/>
                <w:color w:val="auto"/>
              </w:rPr>
            </w:pPr>
            <w:r>
              <w:rPr>
                <w:rFonts w:ascii="Arial" w:cs="Arial" w:eastAsia="Arial" w:hAnsi="Arial"/>
                <w:sz w:val="18"/>
                <w:szCs w:val="18"/>
                <w:i w:val="1"/>
                <w:iCs w:val="1"/>
                <w:color w:val="auto"/>
              </w:rPr>
              <w:t>Chairman of the Board and Director</w:t>
            </w:r>
          </w:p>
        </w:tc>
        <w:tc>
          <w:tcPr>
            <w:tcW w:w="2040" w:type="dxa"/>
            <w:vAlign w:val="bottom"/>
          </w:tcPr>
          <w:p>
            <w:pPr>
              <w:ind w:left="780"/>
              <w:spacing w:after="0"/>
              <w:rPr>
                <w:sz w:val="20"/>
                <w:szCs w:val="20"/>
                <w:color w:val="auto"/>
              </w:rPr>
            </w:pPr>
            <w:r>
              <w:rPr>
                <w:rFonts w:ascii="Arial" w:cs="Arial" w:eastAsia="Arial" w:hAnsi="Arial"/>
                <w:sz w:val="18"/>
                <w:szCs w:val="18"/>
                <w:color w:val="auto"/>
                <w:w w:val="89"/>
              </w:rPr>
              <w:t>October 20, 2021</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0"/>
              </w:rPr>
              <w:t>Richard Berman</w:t>
            </w:r>
          </w:p>
        </w:tc>
        <w:tc>
          <w:tcPr>
            <w:tcW w:w="48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6"/>
              </w:rPr>
              <w:t xml:space="preserve">/s/ </w:t>
            </w:r>
            <w:r>
              <w:rPr>
                <w:rFonts w:ascii="Arial" w:cs="Arial" w:eastAsia="Arial" w:hAnsi="Arial"/>
                <w:sz w:val="18"/>
                <w:szCs w:val="18"/>
                <w:color w:val="auto"/>
                <w:w w:val="96"/>
              </w:rPr>
              <w:t>Philip Kantoff</w:t>
            </w:r>
          </w:p>
        </w:tc>
        <w:tc>
          <w:tcPr>
            <w:tcW w:w="4800" w:type="dxa"/>
            <w:vAlign w:val="bottom"/>
          </w:tcPr>
          <w:p>
            <w:pPr>
              <w:ind w:left="120"/>
              <w:spacing w:after="0"/>
              <w:rPr>
                <w:sz w:val="20"/>
                <w:szCs w:val="20"/>
                <w:color w:val="auto"/>
              </w:rPr>
            </w:pPr>
            <w:r>
              <w:rPr>
                <w:rFonts w:ascii="Arial" w:cs="Arial" w:eastAsia="Arial" w:hAnsi="Arial"/>
                <w:sz w:val="18"/>
                <w:szCs w:val="18"/>
                <w:i w:val="1"/>
                <w:iCs w:val="1"/>
                <w:color w:val="auto"/>
              </w:rPr>
              <w:t>Director</w:t>
            </w:r>
          </w:p>
        </w:tc>
        <w:tc>
          <w:tcPr>
            <w:tcW w:w="2040" w:type="dxa"/>
            <w:vAlign w:val="bottom"/>
          </w:tcPr>
          <w:p>
            <w:pPr>
              <w:ind w:left="780"/>
              <w:spacing w:after="0"/>
              <w:rPr>
                <w:sz w:val="20"/>
                <w:szCs w:val="20"/>
                <w:color w:val="auto"/>
              </w:rPr>
            </w:pPr>
            <w:r>
              <w:rPr>
                <w:rFonts w:ascii="Arial" w:cs="Arial" w:eastAsia="Arial" w:hAnsi="Arial"/>
                <w:sz w:val="18"/>
                <w:szCs w:val="18"/>
                <w:color w:val="auto"/>
                <w:w w:val="89"/>
              </w:rPr>
              <w:t>October 20, 2021</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6"/>
              </w:rPr>
              <w:t>Philip Kantoff</w:t>
            </w:r>
          </w:p>
        </w:tc>
        <w:tc>
          <w:tcPr>
            <w:tcW w:w="48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 xml:space="preserve">/s/ </w:t>
            </w:r>
            <w:r>
              <w:rPr>
                <w:rFonts w:ascii="Arial" w:cs="Arial" w:eastAsia="Arial" w:hAnsi="Arial"/>
                <w:sz w:val="18"/>
                <w:szCs w:val="18"/>
                <w:color w:val="auto"/>
                <w:w w:val="89"/>
              </w:rPr>
              <w:t>Jennifer Evans Stacey</w:t>
            </w:r>
          </w:p>
        </w:tc>
        <w:tc>
          <w:tcPr>
            <w:tcW w:w="4800" w:type="dxa"/>
            <w:vAlign w:val="bottom"/>
          </w:tcPr>
          <w:p>
            <w:pPr>
              <w:ind w:left="120"/>
              <w:spacing w:after="0"/>
              <w:rPr>
                <w:sz w:val="20"/>
                <w:szCs w:val="20"/>
                <w:color w:val="auto"/>
              </w:rPr>
            </w:pPr>
            <w:r>
              <w:rPr>
                <w:rFonts w:ascii="Arial" w:cs="Arial" w:eastAsia="Arial" w:hAnsi="Arial"/>
                <w:sz w:val="18"/>
                <w:szCs w:val="18"/>
                <w:i w:val="1"/>
                <w:iCs w:val="1"/>
                <w:color w:val="auto"/>
              </w:rPr>
              <w:t>Director</w:t>
            </w:r>
          </w:p>
        </w:tc>
        <w:tc>
          <w:tcPr>
            <w:tcW w:w="2040" w:type="dxa"/>
            <w:vAlign w:val="bottom"/>
          </w:tcPr>
          <w:p>
            <w:pPr>
              <w:ind w:left="780"/>
              <w:spacing w:after="0"/>
              <w:rPr>
                <w:sz w:val="20"/>
                <w:szCs w:val="20"/>
                <w:color w:val="auto"/>
              </w:rPr>
            </w:pPr>
            <w:r>
              <w:rPr>
                <w:rFonts w:ascii="Arial" w:cs="Arial" w:eastAsia="Arial" w:hAnsi="Arial"/>
                <w:sz w:val="18"/>
                <w:szCs w:val="18"/>
                <w:color w:val="auto"/>
                <w:w w:val="89"/>
              </w:rPr>
              <w:t>October 20, 2021</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8"/>
              </w:rPr>
              <w:t>Jennifer Evans Stacey</w:t>
            </w:r>
          </w:p>
        </w:tc>
        <w:tc>
          <w:tcPr>
            <w:tcW w:w="48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 xml:space="preserve">/s/ </w:t>
            </w:r>
            <w:r>
              <w:rPr>
                <w:rFonts w:ascii="Arial" w:cs="Arial" w:eastAsia="Arial" w:hAnsi="Arial"/>
                <w:sz w:val="18"/>
                <w:szCs w:val="18"/>
                <w:color w:val="auto"/>
                <w:w w:val="89"/>
              </w:rPr>
              <w:t>Linda West</w:t>
            </w:r>
          </w:p>
        </w:tc>
        <w:tc>
          <w:tcPr>
            <w:tcW w:w="4800" w:type="dxa"/>
            <w:vAlign w:val="bottom"/>
          </w:tcPr>
          <w:p>
            <w:pPr>
              <w:ind w:left="120"/>
              <w:spacing w:after="0"/>
              <w:rPr>
                <w:sz w:val="20"/>
                <w:szCs w:val="20"/>
                <w:color w:val="auto"/>
              </w:rPr>
            </w:pPr>
            <w:r>
              <w:rPr>
                <w:rFonts w:ascii="Arial" w:cs="Arial" w:eastAsia="Arial" w:hAnsi="Arial"/>
                <w:sz w:val="18"/>
                <w:szCs w:val="18"/>
                <w:i w:val="1"/>
                <w:iCs w:val="1"/>
                <w:color w:val="auto"/>
              </w:rPr>
              <w:t>Director</w:t>
            </w:r>
          </w:p>
        </w:tc>
        <w:tc>
          <w:tcPr>
            <w:tcW w:w="2040" w:type="dxa"/>
            <w:vAlign w:val="bottom"/>
          </w:tcPr>
          <w:p>
            <w:pPr>
              <w:ind w:left="780"/>
              <w:spacing w:after="0"/>
              <w:rPr>
                <w:sz w:val="20"/>
                <w:szCs w:val="20"/>
                <w:color w:val="auto"/>
              </w:rPr>
            </w:pPr>
            <w:r>
              <w:rPr>
                <w:rFonts w:ascii="Arial" w:cs="Arial" w:eastAsia="Arial" w:hAnsi="Arial"/>
                <w:sz w:val="18"/>
                <w:szCs w:val="18"/>
                <w:color w:val="auto"/>
                <w:w w:val="89"/>
              </w:rPr>
              <w:t>October 20, 2021</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1"/>
              </w:rPr>
              <w:t>Linda West</w:t>
            </w:r>
          </w:p>
        </w:tc>
        <w:tc>
          <w:tcPr>
            <w:tcW w:w="4800" w:type="dxa"/>
            <w:vAlign w:val="bottom"/>
          </w:tcPr>
          <w:p>
            <w:pPr>
              <w:spacing w:after="0"/>
              <w:rPr>
                <w:sz w:val="19"/>
                <w:szCs w:val="19"/>
                <w:color w:val="auto"/>
              </w:rPr>
            </w:pPr>
          </w:p>
        </w:tc>
        <w:tc>
          <w:tcPr>
            <w:tcW w:w="204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171450</wp:posOffset>
            </wp:positionV>
            <wp:extent cx="6206490"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620649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 xml:space="preserve">Faegre Drinker Biddle &amp; Reath </w:t>
      </w:r>
      <w:r>
        <w:rPr>
          <w:rFonts w:ascii="Arial" w:cs="Arial" w:eastAsia="Arial" w:hAnsi="Arial"/>
          <w:sz w:val="14"/>
          <w:szCs w:val="14"/>
          <w:b w:val="1"/>
          <w:bCs w:val="1"/>
          <w:color w:val="auto"/>
        </w:rPr>
        <w:t>LLP</w:t>
      </w:r>
    </w:p>
    <w:p>
      <w:pPr>
        <w:spacing w:after="0" w:line="27"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2200 Wells Fargo Center</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90 South Seventh Street</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+1 612 766 7000 main</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+1 612 766 1600 fax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October 20,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Context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3675 Market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19104</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Registration Statement on Form S-8</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Context Therapeutics Inc. 2021 Long Term Equity Incentive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acted as counsel to Context Therapeutics Inc., a Delaware corporation (the “Company”), in connection with the preparation and filing with the Securities and Exchange Commission (the “Commission”) of a Registration Statement on Form S-8 (the “Registration Statement”) by the Company under the Securities Act of 1933, as amended (the “Act”). The Registration Statement registers the offer and sale of up to an aggregate of 1,253,568 shares (the “Shares”) of the Company’s common stock, par value $0.001 per share, of which are issuable pursuant to the Context Therapeutics Inc. 2021 Long Term Equity Incentive Plan (the “2021 Plan”).</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purposes of this opinion letter, we have examined the 2021 Plan, the Registration Statement, the Certificate of Incorporation of the Company, as amended and as currently in effect, the Bylaws of the Company, as currently in effect, and the resolutions of the Company’s board of directors authorizing the issuance of the Shares. We have also examined a certificate of the Secretary of the Company dated the date hereof (the “Certificate”) and originals, or copies certified or otherwise authenticated to our satisfaction, of such corporate records and other records, agreements, instruments, certificates of public officials and documents as we have deemed necessary as a basis for the opinions hereinafter expressed and have reviewed such matters of law as we have deemed relevant hereto. As to all issues of fact material to this opinion letter, we have relied on certificates, statements or representations of public officials, of officers and representatives of the Company (including the Certificate) and of others, without any independent verification thereof.</w:t>
      </w:r>
    </w:p>
    <w:p>
      <w:pPr>
        <w:spacing w:after="0" w:line="19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our examination, we have assumed: (i) the legal capacity of all natural persons; (ii) the genuineness of all signatures; (iii) the authenticity of all documents submitted to us as originals; (iv) the conformity to original documents of all documents submitted to us as certified, conformed, photostatic or facsimile copies; (v) the authenticity of the originals of such latter documents; (vi) the truth, accuracy and completeness of the information, representations and warranties contained in the agreements, documents, instruments, certificates and records we have reviewed; and (vii) the absence of any undisclosed modifications to the agreements and instruments reviewed by us.</w:t>
      </w:r>
    </w:p>
    <w:p>
      <w:pPr>
        <w:spacing w:after="0" w:line="17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Based upon such examination and review, and subject to the foregoing and the other qualifications, assumptions and limitations set forth herein, it is our opinion that all necessary corporate action on the part of the Company has been taken to authorize the issuance and sale of the Shares to be issued in accordance with the 2021 Plan and that, when (a) the Shares have been issued and sold as contemplated in the Registration Statement and related prospectuses and in accordance with the 2021 Plan and, with respect to Shares issued under the 2021 Plan, the terms of the applicable awards granted under such 2021 Plan, and (b) where applicable, the consideration for the Shares specified in the applicable 2021 Plan and, with respect to Shares under the 2021 Plan, the terms of any awards granted under such 2021 Plan, has been received by the Company, the Shares will be legally and validly issued, fully paid and nonassessable.</w:t>
      </w:r>
    </w:p>
    <w:p>
      <w:pPr>
        <w:sectPr>
          <w:pgSz w:w="11900" w:h="16838" w:orient="portrait"/>
          <w:cols w:equalWidth="0" w:num="1">
            <w:col w:w="11020"/>
          </w:cols>
          <w:pgMar w:left="440" w:top="121"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opinions are limited to the General Corporation Law of the State of Delaware.</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opinion speaks only as of the date the Registration Statement becomes effective under the Act, and we assume no obligation to revise or supplement this opinion thereafter. This opinion is limited to the specific issues addressed herein, and no opinion may be inferred or implied beyond that expressly stated herein.</w:t>
      </w:r>
    </w:p>
    <w:p>
      <w:pPr>
        <w:spacing w:after="0" w:line="18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hereby consent to the filing of this opinion as an exhibit to the Registration Statement. In giving such consent, we do not thereby admit that we are within the category of persons whose consent is required under Section 7 of the Act or the rules and regulations of the Commission thereunder.</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AEGRE</w:t>
      </w:r>
      <w:r>
        <w:rPr>
          <w:rFonts w:ascii="Arial" w:cs="Arial" w:eastAsia="Arial" w:hAnsi="Arial"/>
          <w:sz w:val="18"/>
          <w:szCs w:val="18"/>
          <w:color w:val="auto"/>
        </w:rPr>
        <w:t xml:space="preserve"> D</w:t>
      </w:r>
      <w:r>
        <w:rPr>
          <w:rFonts w:ascii="Arial" w:cs="Arial" w:eastAsia="Arial" w:hAnsi="Arial"/>
          <w:sz w:val="14"/>
          <w:szCs w:val="14"/>
          <w:color w:val="auto"/>
        </w:rPr>
        <w:t>RINKER</w:t>
      </w:r>
      <w:r>
        <w:rPr>
          <w:rFonts w:ascii="Arial" w:cs="Arial" w:eastAsia="Arial" w:hAnsi="Arial"/>
          <w:sz w:val="18"/>
          <w:szCs w:val="18"/>
          <w:color w:val="auto"/>
        </w:rPr>
        <w:t xml:space="preserve"> B</w:t>
      </w:r>
      <w:r>
        <w:rPr>
          <w:rFonts w:ascii="Arial" w:cs="Arial" w:eastAsia="Arial" w:hAnsi="Arial"/>
          <w:sz w:val="14"/>
          <w:szCs w:val="14"/>
          <w:color w:val="auto"/>
        </w:rPr>
        <w:t>IDDLE</w:t>
      </w:r>
      <w:r>
        <w:rPr>
          <w:rFonts w:ascii="Arial" w:cs="Arial" w:eastAsia="Arial" w:hAnsi="Arial"/>
          <w:sz w:val="18"/>
          <w:szCs w:val="18"/>
          <w:color w:val="auto"/>
        </w:rPr>
        <w:t xml:space="preserve"> &amp; R</w:t>
      </w:r>
      <w:r>
        <w:rPr>
          <w:rFonts w:ascii="Arial" w:cs="Arial" w:eastAsia="Arial" w:hAnsi="Arial"/>
          <w:sz w:val="14"/>
          <w:szCs w:val="14"/>
          <w:color w:val="auto"/>
        </w:rPr>
        <w:t>EATH</w:t>
      </w:r>
      <w:r>
        <w:rPr>
          <w:rFonts w:ascii="Arial" w:cs="Arial" w:eastAsia="Arial" w:hAnsi="Arial"/>
          <w:sz w:val="18"/>
          <w:szCs w:val="18"/>
          <w:color w:val="auto"/>
        </w:rPr>
        <w:t xml:space="preserve"> LLP</w:t>
      </w:r>
    </w:p>
    <w:p>
      <w:pPr>
        <w:spacing w:after="0" w:line="22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Ben Stacke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Ben Stacke, Partner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80"/>
          </w:cols>
          <w:pgMar w:left="440" w:top="274" w:right="4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consent to the incorporation by reference in this Registration Statement of Context Therapeutics Inc. (the “Company”) on Form S-8 (the “S-8 Registration Statement”) of our report included in the Company’s prospectus, dated October 19, 2021, filed with the Commission on October 20, 2021 pursuant to Rule 424(b) under the Securities Act, which is incorporated by reference in the S-8 Registration Statement, relating to the Company’s registration statement on Form S-1, as amended (File No. 333-256572), which includes an explanatory paragraph related to Context Therapeutics LLC’s ability to continue as a going concern, dated March 19, 2021, except for the effects of the matter discussed in Note 3 - Income (Loss) per Share and the reverse triangular merger described in Note 11, which are as of September 10, 2021, on our audits of the consolidated financial statements of Context Therapeutics Inc. and Subsidiaries as of December 31, 2020 and 2019 and for the years then ended. We also consent to the incorporation by reference in the S-8 Registration Statement of the reference to our firm under the heading “Experts.”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Holmdel,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19,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jpeg"/><Relationship Id="rId28" Type="http://schemas.openxmlformats.org/officeDocument/2006/relationships/image" Target="media/image16.png"/><Relationship Id="rId29" Type="http://schemas.openxmlformats.org/officeDocument/2006/relationships/image" Target="media/image17.png"/><Relationship Id="rId17" Type="http://schemas.openxmlformats.org/officeDocument/2006/relationships/hyperlink" Target="http://www.sec.gov/Archives/edgar/data/1842952/000119312521303138/d46596d424b4.htm" TargetMode="External"/><Relationship Id="rId18" Type="http://schemas.openxmlformats.org/officeDocument/2006/relationships/hyperlink" Target="http://www.sec.gov/Archives/edgar/data/1842952/000119312521223087/d192600d8a12b.htm" TargetMode="External"/><Relationship Id="rId22" Type="http://schemas.openxmlformats.org/officeDocument/2006/relationships/hyperlink" Target="http://www.sec.gov/Archives/edgar/data/1842952/000119312521192240/d46596dex33.htm" TargetMode="External"/><Relationship Id="rId23" Type="http://schemas.openxmlformats.org/officeDocument/2006/relationships/hyperlink" Target="http://www.sec.gov/Archives/edgar/data/1842952/000119312521192240/d46596dex35.htm" TargetMode="External"/><Relationship Id="rId24" Type="http://schemas.openxmlformats.org/officeDocument/2006/relationships/hyperlink" Target="http://www.sec.gov/Archives/edgar/data/1842952/000119312521175568/d46596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2021-10-20T16:14:57Z</dcterms:created>
  <dcterms:modified xsi:type="dcterms:W3CDTF">2021-10-20T16:14:57Z</dcterms:modified>
</cp:coreProperties>
</file>