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No.___)*</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21077P108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firstLine="77"/>
        <w:spacing w:after="0" w:line="253" w:lineRule="exact"/>
        <w:tabs>
          <w:tab w:leader="none" w:pos="101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960"/>
          </w:cols>
          <w:pgMar w:left="320" w:top="460" w:right="6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15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840" w:type="dxa"/>
            <w:vAlign w:val="bottom"/>
            <w:gridSpan w:val="2"/>
          </w:tcPr>
          <w:p>
            <w:pPr>
              <w:ind w:left="420"/>
              <w:spacing w:after="0"/>
              <w:rPr>
                <w:sz w:val="20"/>
                <w:szCs w:val="20"/>
                <w:color w:val="auto"/>
              </w:rPr>
            </w:pPr>
            <w:r>
              <w:rPr>
                <w:rFonts w:ascii="Arial" w:cs="Arial" w:eastAsia="Arial" w:hAnsi="Arial"/>
                <w:sz w:val="20"/>
                <w:szCs w:val="20"/>
                <w:color w:val="auto"/>
              </w:rPr>
              <w:t>Hudson Bay Capital Management LP</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580" w:type="dxa"/>
            <w:vAlign w:val="bottom"/>
            <w:tcBorders>
              <w:right w:val="single" w:sz="8" w:color="auto"/>
            </w:tcBorders>
          </w:tcPr>
          <w:p>
            <w:pPr>
              <w:jc w:val="center"/>
              <w:ind w:right="26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ind w:right="2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636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840" w:type="dxa"/>
            <w:vAlign w:val="bottom"/>
            <w:tcBorders>
              <w:bottom w:val="single" w:sz="8" w:color="auto"/>
            </w:tcBorders>
            <w:gridSpan w:val="2"/>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84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636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360" w:type="dxa"/>
            <w:vAlign w:val="bottom"/>
          </w:tcPr>
          <w:p>
            <w:pPr>
              <w:ind w:left="420"/>
              <w:spacing w:after="0"/>
              <w:rPr>
                <w:sz w:val="20"/>
                <w:szCs w:val="20"/>
                <w:color w:val="auto"/>
              </w:rPr>
            </w:pPr>
            <w:r>
              <w:rPr>
                <w:rFonts w:ascii="Arial" w:cs="Arial" w:eastAsia="Arial" w:hAnsi="Arial"/>
                <w:sz w:val="20"/>
                <w:szCs w:val="20"/>
                <w:color w:val="auto"/>
              </w:rPr>
              <w:t>0</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636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6360" w:type="dxa"/>
            <w:vAlign w:val="bottom"/>
            <w:vMerge w:val="continue"/>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6360" w:type="dxa"/>
            <w:vAlign w:val="bottom"/>
          </w:tcPr>
          <w:p>
            <w:pPr>
              <w:ind w:left="420"/>
              <w:spacing w:after="0"/>
              <w:rPr>
                <w:sz w:val="20"/>
                <w:szCs w:val="20"/>
                <w:color w:val="auto"/>
              </w:rPr>
            </w:pPr>
            <w:r>
              <w:rPr>
                <w:rFonts w:ascii="Arial" w:cs="Arial" w:eastAsia="Arial" w:hAnsi="Arial"/>
                <w:sz w:val="20"/>
                <w:szCs w:val="20"/>
                <w:color w:val="auto"/>
                <w:w w:val="93"/>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636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6360" w:type="dxa"/>
            <w:vAlign w:val="bottom"/>
          </w:tcPr>
          <w:p>
            <w:pPr>
              <w:ind w:left="420"/>
              <w:spacing w:after="0"/>
              <w:rPr>
                <w:sz w:val="20"/>
                <w:szCs w:val="20"/>
                <w:color w:val="auto"/>
              </w:rPr>
            </w:pPr>
            <w:r>
              <w:rPr>
                <w:rFonts w:ascii="Arial" w:cs="Arial" w:eastAsia="Arial" w:hAnsi="Arial"/>
                <w:sz w:val="20"/>
                <w:szCs w:val="20"/>
                <w:color w:val="auto"/>
              </w:rPr>
              <w:t>0</w:t>
            </w:r>
          </w:p>
        </w:tc>
        <w:tc>
          <w:tcPr>
            <w:tcW w:w="1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636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360" w:type="dxa"/>
            <w:vAlign w:val="bottom"/>
          </w:tcPr>
          <w:p>
            <w:pPr>
              <w:ind w:left="420"/>
              <w:spacing w:after="0"/>
              <w:rPr>
                <w:sz w:val="20"/>
                <w:szCs w:val="20"/>
                <w:color w:val="auto"/>
              </w:rPr>
            </w:pPr>
            <w:r>
              <w:rPr>
                <w:rFonts w:ascii="Arial" w:cs="Arial" w:eastAsia="Arial" w:hAnsi="Arial"/>
                <w:sz w:val="20"/>
                <w:szCs w:val="20"/>
                <w:color w:val="auto"/>
                <w:w w:val="93"/>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840" w:type="dxa"/>
            <w:vAlign w:val="bottom"/>
            <w:gridSpan w:val="2"/>
          </w:tcPr>
          <w:p>
            <w:pPr>
              <w:ind w:left="420"/>
              <w:spacing w:after="0"/>
              <w:rPr>
                <w:sz w:val="20"/>
                <w:szCs w:val="20"/>
                <w:color w:val="auto"/>
              </w:rPr>
            </w:pPr>
            <w:r>
              <w:rPr>
                <w:rFonts w:ascii="Arial" w:cs="Arial" w:eastAsia="Arial" w:hAnsi="Arial"/>
                <w:sz w:val="20"/>
                <w:szCs w:val="20"/>
                <w:color w:val="auto"/>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80" w:type="dxa"/>
            <w:vAlign w:val="bottom"/>
            <w:tcBorders>
              <w:right w:val="single" w:sz="8" w:color="auto"/>
            </w:tcBorders>
          </w:tcPr>
          <w:p>
            <w:pPr>
              <w:jc w:val="center"/>
              <w:ind w:right="32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8.36%</w:t>
            </w:r>
          </w:p>
        </w:tc>
        <w:tc>
          <w:tcPr>
            <w:tcW w:w="63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84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PN</w:t>
            </w:r>
          </w:p>
        </w:tc>
        <w:tc>
          <w:tcPr>
            <w:tcW w:w="63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8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15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20"/>
              <w:spacing w:after="0"/>
              <w:rPr>
                <w:sz w:val="20"/>
                <w:szCs w:val="20"/>
                <w:color w:val="auto"/>
              </w:rPr>
            </w:pPr>
            <w:r>
              <w:rPr>
                <w:rFonts w:ascii="Arial" w:cs="Arial" w:eastAsia="Arial" w:hAnsi="Arial"/>
                <w:sz w:val="20"/>
                <w:szCs w:val="20"/>
                <w:color w:val="auto"/>
                <w:w w:val="86"/>
              </w:rPr>
              <w:t>Sander Gerber</w:t>
            </w:r>
          </w:p>
        </w:tc>
        <w:tc>
          <w:tcPr>
            <w:tcW w:w="62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840" w:type="dxa"/>
            <w:vAlign w:val="bottom"/>
            <w:tcBorders>
              <w:bottom w:val="single" w:sz="8" w:color="auto"/>
            </w:tcBorders>
            <w:gridSpan w:val="3"/>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580" w:type="dxa"/>
            <w:vAlign w:val="bottom"/>
            <w:tcBorders>
              <w:right w:val="single" w:sz="8" w:color="auto"/>
            </w:tcBorders>
          </w:tcPr>
          <w:p>
            <w:pPr>
              <w:jc w:val="center"/>
              <w:ind w:right="26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jc w:val="center"/>
              <w:ind w:right="2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8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626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840" w:type="dxa"/>
            <w:vAlign w:val="bottom"/>
            <w:tcBorders>
              <w:bottom w:val="single" w:sz="8" w:color="auto"/>
            </w:tcBorders>
            <w:gridSpan w:val="3"/>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20"/>
              <w:spacing w:after="0"/>
              <w:rPr>
                <w:sz w:val="20"/>
                <w:szCs w:val="20"/>
                <w:color w:val="auto"/>
              </w:rPr>
            </w:pPr>
            <w:r>
              <w:rPr>
                <w:rFonts w:ascii="Arial" w:cs="Arial" w:eastAsia="Arial" w:hAnsi="Arial"/>
                <w:sz w:val="20"/>
                <w:szCs w:val="20"/>
                <w:color w:val="auto"/>
                <w:w w:val="94"/>
              </w:rPr>
              <w:t>United States</w:t>
            </w:r>
          </w:p>
        </w:tc>
        <w:tc>
          <w:tcPr>
            <w:tcW w:w="62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100" w:type="dxa"/>
            <w:vAlign w:val="bottom"/>
          </w:tcPr>
          <w:p>
            <w:pPr>
              <w:spacing w:after="0"/>
              <w:rPr>
                <w:sz w:val="21"/>
                <w:szCs w:val="21"/>
                <w:color w:val="auto"/>
              </w:rPr>
            </w:pPr>
          </w:p>
        </w:tc>
        <w:tc>
          <w:tcPr>
            <w:tcW w:w="6260" w:type="dxa"/>
            <w:vAlign w:val="bottom"/>
          </w:tcPr>
          <w:p>
            <w:pPr>
              <w:spacing w:after="0"/>
              <w:rPr>
                <w:sz w:val="20"/>
                <w:szCs w:val="20"/>
                <w:color w:val="auto"/>
              </w:rPr>
            </w:pPr>
            <w:r>
              <w:rPr>
                <w:rFonts w:ascii="Arial" w:cs="Arial" w:eastAsia="Arial" w:hAnsi="Arial"/>
                <w:sz w:val="16"/>
                <w:szCs w:val="16"/>
                <w:color w:val="auto"/>
              </w:rPr>
              <w:t>SOLE VOTING POWER</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Pr>
          <w:p>
            <w:pPr>
              <w:ind w:left="320"/>
              <w:spacing w:after="0"/>
              <w:rPr>
                <w:sz w:val="20"/>
                <w:szCs w:val="20"/>
                <w:color w:val="auto"/>
              </w:rPr>
            </w:pPr>
            <w:r>
              <w:rPr>
                <w:rFonts w:ascii="Arial" w:cs="Arial" w:eastAsia="Arial" w:hAnsi="Arial"/>
                <w:sz w:val="20"/>
                <w:szCs w:val="20"/>
                <w:color w:val="auto"/>
              </w:rPr>
              <w:t>0</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100" w:type="dxa"/>
            <w:vAlign w:val="bottom"/>
          </w:tcPr>
          <w:p>
            <w:pPr>
              <w:spacing w:after="0"/>
              <w:rPr>
                <w:sz w:val="9"/>
                <w:szCs w:val="9"/>
                <w:color w:val="auto"/>
              </w:rPr>
            </w:pPr>
          </w:p>
        </w:tc>
        <w:tc>
          <w:tcPr>
            <w:tcW w:w="6260" w:type="dxa"/>
            <w:vAlign w:val="bottom"/>
            <w:vMerge w:val="restart"/>
          </w:tcPr>
          <w:p>
            <w:pPr>
              <w:spacing w:after="0"/>
              <w:rPr>
                <w:sz w:val="20"/>
                <w:szCs w:val="20"/>
                <w:color w:val="auto"/>
              </w:rPr>
            </w:pPr>
            <w:r>
              <w:rPr>
                <w:rFonts w:ascii="Arial" w:cs="Arial" w:eastAsia="Arial" w:hAnsi="Arial"/>
                <w:sz w:val="16"/>
                <w:szCs w:val="16"/>
                <w:color w:val="auto"/>
              </w:rPr>
              <w:t>SHARED VOTING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260" w:type="dxa"/>
            <w:vAlign w:val="bottom"/>
            <w:vMerge w:val="continue"/>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Pr>
          <w:p>
            <w:pPr>
              <w:ind w:left="320"/>
              <w:spacing w:after="0"/>
              <w:rPr>
                <w:sz w:val="20"/>
                <w:szCs w:val="20"/>
                <w:color w:val="auto"/>
              </w:rPr>
            </w:pPr>
            <w:r>
              <w:rPr>
                <w:rFonts w:ascii="Arial" w:cs="Arial" w:eastAsia="Arial" w:hAnsi="Arial"/>
                <w:sz w:val="20"/>
                <w:szCs w:val="20"/>
                <w:color w:val="auto"/>
                <w:w w:val="93"/>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100" w:type="dxa"/>
            <w:vAlign w:val="bottom"/>
          </w:tcPr>
          <w:p>
            <w:pPr>
              <w:spacing w:after="0"/>
              <w:rPr>
                <w:sz w:val="9"/>
                <w:szCs w:val="9"/>
                <w:color w:val="auto"/>
              </w:rPr>
            </w:pPr>
          </w:p>
        </w:tc>
        <w:tc>
          <w:tcPr>
            <w:tcW w:w="6260" w:type="dxa"/>
            <w:vAlign w:val="bottom"/>
            <w:vMerge w:val="restart"/>
          </w:tcPr>
          <w:p>
            <w:pPr>
              <w:spacing w:after="0"/>
              <w:rPr>
                <w:sz w:val="20"/>
                <w:szCs w:val="20"/>
                <w:color w:val="auto"/>
              </w:rPr>
            </w:pPr>
            <w:r>
              <w:rPr>
                <w:rFonts w:ascii="Arial" w:cs="Arial" w:eastAsia="Arial" w:hAnsi="Arial"/>
                <w:sz w:val="16"/>
                <w:szCs w:val="16"/>
                <w:color w:val="auto"/>
              </w:rPr>
              <w:t>SOLE DISPOSITIVE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60" w:type="dxa"/>
            <w:vAlign w:val="bottom"/>
          </w:tcPr>
          <w:p>
            <w:pPr>
              <w:ind w:left="320"/>
              <w:spacing w:after="0"/>
              <w:rPr>
                <w:sz w:val="20"/>
                <w:szCs w:val="20"/>
                <w:color w:val="auto"/>
              </w:rPr>
            </w:pPr>
            <w:r>
              <w:rPr>
                <w:rFonts w:ascii="Arial" w:cs="Arial" w:eastAsia="Arial" w:hAnsi="Arial"/>
                <w:sz w:val="20"/>
                <w:szCs w:val="20"/>
                <w:color w:val="auto"/>
              </w:rPr>
              <w:t>0</w:t>
            </w:r>
          </w:p>
        </w:tc>
        <w:tc>
          <w:tcPr>
            <w:tcW w:w="15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100" w:type="dxa"/>
            <w:vAlign w:val="bottom"/>
          </w:tcPr>
          <w:p>
            <w:pPr>
              <w:spacing w:after="0"/>
              <w:rPr>
                <w:sz w:val="9"/>
                <w:szCs w:val="9"/>
                <w:color w:val="auto"/>
              </w:rPr>
            </w:pPr>
          </w:p>
        </w:tc>
        <w:tc>
          <w:tcPr>
            <w:tcW w:w="6260" w:type="dxa"/>
            <w:vAlign w:val="bottom"/>
            <w:vMerge w:val="restart"/>
          </w:tcPr>
          <w:p>
            <w:pPr>
              <w:spacing w:after="0"/>
              <w:rPr>
                <w:sz w:val="20"/>
                <w:szCs w:val="20"/>
                <w:color w:val="auto"/>
              </w:rPr>
            </w:pPr>
            <w:r>
              <w:rPr>
                <w:rFonts w:ascii="Arial" w:cs="Arial" w:eastAsia="Arial" w:hAnsi="Arial"/>
                <w:sz w:val="16"/>
                <w:szCs w:val="16"/>
                <w:color w:val="auto"/>
              </w:rPr>
              <w:t>SHARED DISPOSITIVE POWER</w:t>
            </w: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260" w:type="dxa"/>
            <w:vAlign w:val="bottom"/>
          </w:tcPr>
          <w:p>
            <w:pPr>
              <w:ind w:left="320"/>
              <w:spacing w:after="0"/>
              <w:rPr>
                <w:sz w:val="20"/>
                <w:szCs w:val="20"/>
                <w:color w:val="auto"/>
              </w:rPr>
            </w:pPr>
            <w:r>
              <w:rPr>
                <w:rFonts w:ascii="Arial" w:cs="Arial" w:eastAsia="Arial" w:hAnsi="Arial"/>
                <w:sz w:val="20"/>
                <w:szCs w:val="20"/>
                <w:color w:val="auto"/>
                <w:w w:val="93"/>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636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840" w:type="dxa"/>
            <w:vAlign w:val="bottom"/>
            <w:gridSpan w:val="3"/>
          </w:tcPr>
          <w:p>
            <w:pPr>
              <w:ind w:left="420"/>
              <w:spacing w:after="0"/>
              <w:rPr>
                <w:sz w:val="20"/>
                <w:szCs w:val="20"/>
                <w:color w:val="auto"/>
              </w:rPr>
            </w:pPr>
            <w:r>
              <w:rPr>
                <w:rFonts w:ascii="Arial" w:cs="Arial" w:eastAsia="Arial" w:hAnsi="Arial"/>
                <w:sz w:val="20"/>
                <w:szCs w:val="20"/>
                <w:color w:val="auto"/>
              </w:rPr>
              <w:t>1,000,000 shares of Common Stock issuable upon exercise of warrants</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580" w:type="dxa"/>
            <w:vAlign w:val="bottom"/>
            <w:tcBorders>
              <w:right w:val="single" w:sz="8" w:color="auto"/>
            </w:tcBorders>
          </w:tcPr>
          <w:p>
            <w:pPr>
              <w:jc w:val="center"/>
              <w:ind w:right="32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8.36%</w:t>
            </w:r>
          </w:p>
        </w:tc>
        <w:tc>
          <w:tcPr>
            <w:tcW w:w="10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gridSpan w:val="2"/>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84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8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260" w:type="dxa"/>
            <w:vAlign w:val="bottom"/>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320" w:type="dxa"/>
            <w:vAlign w:val="bottom"/>
          </w:tcPr>
          <w:p>
            <w:pPr>
              <w:spacing w:after="0"/>
              <w:rPr>
                <w:sz w:val="22"/>
                <w:szCs w:val="22"/>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color w:val="auto"/>
              </w:rPr>
              <w:t>The name of the issuer is Context Therapeutics Inc., a Delaware corporation (the "Company").</w:t>
            </w:r>
          </w:p>
        </w:tc>
      </w:tr>
      <w:tr>
        <w:trPr>
          <w:trHeight w:val="484"/>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320" w:type="dxa"/>
            <w:vAlign w:val="bottom"/>
          </w:tcPr>
          <w:p>
            <w:pPr>
              <w:spacing w:after="0"/>
              <w:rPr>
                <w:sz w:val="24"/>
                <w:szCs w:val="24"/>
                <w:color w:val="auto"/>
              </w:rPr>
            </w:pPr>
          </w:p>
        </w:tc>
        <w:tc>
          <w:tcPr>
            <w:tcW w:w="6640" w:type="dxa"/>
            <w:vAlign w:val="bottom"/>
            <w:gridSpan w:val="7"/>
          </w:tcPr>
          <w:p>
            <w:pPr>
              <w:ind w:left="12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760" w:type="dxa"/>
            <w:vAlign w:val="bottom"/>
            <w:tcBorders>
              <w:top w:val="single" w:sz="8" w:color="auto"/>
            </w:tcBorders>
            <w:gridSpan w:val="2"/>
          </w:tcPr>
          <w:p>
            <w:pPr>
              <w:spacing w:after="0"/>
              <w:rPr>
                <w:sz w:val="24"/>
                <w:szCs w:val="24"/>
                <w:color w:val="auto"/>
              </w:rPr>
            </w:pPr>
          </w:p>
        </w:tc>
        <w:tc>
          <w:tcPr>
            <w:tcW w:w="2260" w:type="dxa"/>
            <w:vAlign w:val="bottom"/>
            <w:gridSpan w:val="3"/>
          </w:tcPr>
          <w:p>
            <w:pPr>
              <w:spacing w:after="0"/>
              <w:rPr>
                <w:sz w:val="24"/>
                <w:szCs w:val="24"/>
                <w:color w:val="auto"/>
              </w:rPr>
            </w:pPr>
          </w:p>
        </w:tc>
      </w:tr>
      <w:tr>
        <w:trPr>
          <w:trHeight w:val="438"/>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color w:val="auto"/>
                <w:w w:val="93"/>
              </w:rPr>
              <w:t>The Company's principal executive offices are located at 3675 Market Street, Suite 200, Philadelphia, Pennsylvania</w:t>
            </w:r>
          </w:p>
        </w:tc>
      </w:tr>
      <w:tr>
        <w:trPr>
          <w:trHeight w:val="250"/>
        </w:trPr>
        <w:tc>
          <w:tcPr>
            <w:tcW w:w="1260" w:type="dxa"/>
            <w:vAlign w:val="bottom"/>
          </w:tcPr>
          <w:p>
            <w:pPr>
              <w:spacing w:after="0"/>
              <w:rPr>
                <w:sz w:val="21"/>
                <w:szCs w:val="21"/>
                <w:color w:val="auto"/>
              </w:rPr>
            </w:pPr>
          </w:p>
        </w:tc>
        <w:tc>
          <w:tcPr>
            <w:tcW w:w="4360" w:type="dxa"/>
            <w:vAlign w:val="bottom"/>
            <w:gridSpan w:val="3"/>
          </w:tcPr>
          <w:p>
            <w:pPr>
              <w:ind w:left="440"/>
              <w:spacing w:after="0"/>
              <w:rPr>
                <w:sz w:val="20"/>
                <w:szCs w:val="20"/>
                <w:color w:val="auto"/>
              </w:rPr>
            </w:pPr>
            <w:r>
              <w:rPr>
                <w:rFonts w:ascii="Arial" w:cs="Arial" w:eastAsia="Arial" w:hAnsi="Arial"/>
                <w:sz w:val="20"/>
                <w:szCs w:val="20"/>
                <w:color w:val="auto"/>
              </w:rPr>
              <w:t>19104.</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13"/>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14"/>
        </w:trPr>
        <w:tc>
          <w:tcPr>
            <w:tcW w:w="1260" w:type="dxa"/>
            <w:vAlign w:val="bottom"/>
          </w:tcPr>
          <w:p>
            <w:pPr>
              <w:spacing w:after="0"/>
              <w:rPr>
                <w:sz w:val="24"/>
                <w:szCs w:val="24"/>
                <w:color w:val="auto"/>
              </w:rPr>
            </w:pPr>
          </w:p>
        </w:tc>
        <w:tc>
          <w:tcPr>
            <w:tcW w:w="9980" w:type="dxa"/>
            <w:vAlign w:val="bottom"/>
            <w:gridSpan w:val="13"/>
          </w:tcPr>
          <w:p>
            <w:pPr>
              <w:ind w:left="320"/>
              <w:spacing w:after="0"/>
              <w:rPr>
                <w:sz w:val="20"/>
                <w:szCs w:val="20"/>
                <w:color w:val="auto"/>
              </w:rPr>
            </w:pPr>
            <w:r>
              <w:rPr>
                <w:rFonts w:ascii="Arial" w:cs="Arial" w:eastAsia="Arial" w:hAnsi="Arial"/>
                <w:sz w:val="20"/>
                <w:szCs w:val="20"/>
                <w:color w:val="auto"/>
                <w:w w:val="90"/>
              </w:rPr>
              <w:t>This statement is filed by Hudson Bay Capital Management LP (the "Investment Manager") and Mr. Sander Gerber ("Mr.</w:t>
            </w: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60" w:type="dxa"/>
            <w:vAlign w:val="bottom"/>
            <w:gridSpan w:val="12"/>
          </w:tcPr>
          <w:p>
            <w:pPr>
              <w:spacing w:after="0" w:line="209" w:lineRule="exact"/>
              <w:rPr>
                <w:sz w:val="20"/>
                <w:szCs w:val="20"/>
                <w:color w:val="auto"/>
              </w:rPr>
            </w:pPr>
            <w:r>
              <w:rPr>
                <w:rFonts w:ascii="Arial" w:cs="Arial" w:eastAsia="Arial" w:hAnsi="Arial"/>
                <w:sz w:val="20"/>
                <w:szCs w:val="20"/>
                <w:color w:val="auto"/>
              </w:rPr>
              <w:t>Gerber"), who are collectively referred to herein as "Reporting Persons."</w:t>
            </w: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r>
      <w:tr>
        <w:trPr>
          <w:trHeight w:val="484"/>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320" w:type="dxa"/>
            <w:vAlign w:val="bottom"/>
          </w:tcPr>
          <w:p>
            <w:pPr>
              <w:spacing w:after="0"/>
              <w:rPr>
                <w:sz w:val="24"/>
                <w:szCs w:val="24"/>
                <w:color w:val="auto"/>
              </w:rPr>
            </w:pPr>
          </w:p>
        </w:tc>
        <w:tc>
          <w:tcPr>
            <w:tcW w:w="9660" w:type="dxa"/>
            <w:vAlign w:val="bottom"/>
            <w:gridSpan w:val="12"/>
          </w:tcPr>
          <w:p>
            <w:pPr>
              <w:ind w:left="2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38"/>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220"/>
              <w:spacing w:after="0"/>
              <w:rPr>
                <w:sz w:val="20"/>
                <w:szCs w:val="20"/>
                <w:color w:val="auto"/>
              </w:rPr>
            </w:pPr>
            <w:r>
              <w:rPr>
                <w:rFonts w:ascii="Arial" w:cs="Arial" w:eastAsia="Arial" w:hAnsi="Arial"/>
                <w:sz w:val="20"/>
                <w:szCs w:val="20"/>
                <w:color w:val="auto"/>
                <w:w w:val="92"/>
              </w:rPr>
              <w:t>The address of the business office of each of the Reporting Persons is 28 Havemeyer Place, 2nd Floor, Greenwich,</w:t>
            </w:r>
          </w:p>
        </w:tc>
      </w:tr>
      <w:tr>
        <w:trPr>
          <w:trHeight w:val="250"/>
        </w:trPr>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2"/>
          </w:tcPr>
          <w:p>
            <w:pPr>
              <w:ind w:left="220"/>
              <w:spacing w:after="0"/>
              <w:rPr>
                <w:sz w:val="20"/>
                <w:szCs w:val="20"/>
                <w:color w:val="auto"/>
              </w:rPr>
            </w:pPr>
            <w:r>
              <w:rPr>
                <w:rFonts w:ascii="Arial" w:cs="Arial" w:eastAsia="Arial" w:hAnsi="Arial"/>
                <w:sz w:val="20"/>
                <w:szCs w:val="20"/>
                <w:color w:val="auto"/>
              </w:rPr>
              <w:t>Connecticut 06830.</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color w:val="auto"/>
              </w:rPr>
              <w:t>The Investment Manager is a Delaware limited partnership. Mr. Gerber is a United States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b w:val="1"/>
                <w:bCs w:val="1"/>
                <w:color w:val="auto"/>
              </w:rPr>
              <w:t>TITLE OF CLASS OF SECURITIES:</w:t>
            </w:r>
          </w:p>
        </w:tc>
      </w:tr>
      <w:tr>
        <w:trPr>
          <w:trHeight w:val="414"/>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color w:val="auto"/>
              </w:rPr>
              <w:t>Common Stock, par value $0.001 per share (the "Common Stock").</w:t>
            </w:r>
          </w:p>
        </w:tc>
      </w:tr>
      <w:tr>
        <w:trPr>
          <w:trHeight w:val="48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20" w:type="dxa"/>
            <w:vAlign w:val="bottom"/>
          </w:tcPr>
          <w:p>
            <w:pPr>
              <w:spacing w:after="0"/>
              <w:rPr>
                <w:sz w:val="24"/>
                <w:szCs w:val="24"/>
                <w:color w:val="auto"/>
              </w:rPr>
            </w:pPr>
          </w:p>
        </w:tc>
        <w:tc>
          <w:tcPr>
            <w:tcW w:w="4040" w:type="dxa"/>
            <w:vAlign w:val="bottom"/>
            <w:gridSpan w:val="2"/>
          </w:tcPr>
          <w:p>
            <w:pPr>
              <w:ind w:left="120"/>
              <w:spacing w:after="0"/>
              <w:rPr>
                <w:sz w:val="20"/>
                <w:szCs w:val="20"/>
                <w:color w:val="auto"/>
              </w:rPr>
            </w:pPr>
            <w:r>
              <w:rPr>
                <w:rFonts w:ascii="Arial" w:cs="Arial" w:eastAsia="Arial" w:hAnsi="Arial"/>
                <w:sz w:val="20"/>
                <w:szCs w:val="20"/>
                <w:b w:val="1"/>
                <w:bCs w:val="1"/>
                <w:color w:val="auto"/>
              </w:rPr>
              <w:t>CUSIP NUMBER:</w:t>
            </w:r>
          </w:p>
        </w:tc>
        <w:tc>
          <w:tcPr>
            <w:tcW w:w="1220" w:type="dxa"/>
            <w:vAlign w:val="bottom"/>
            <w:tcBorders>
              <w:top w:val="single" w:sz="8" w:color="auto"/>
            </w:tcBorders>
            <w:gridSpan w:val="2"/>
          </w:tcPr>
          <w:p>
            <w:pPr>
              <w:spacing w:after="0"/>
              <w:rPr>
                <w:sz w:val="24"/>
                <w:szCs w:val="24"/>
                <w:color w:val="auto"/>
              </w:rPr>
            </w:pPr>
          </w:p>
        </w:tc>
        <w:tc>
          <w:tcPr>
            <w:tcW w:w="4400" w:type="dxa"/>
            <w:vAlign w:val="bottom"/>
            <w:gridSpan w:val="8"/>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color w:val="auto"/>
              </w:rPr>
              <w:t>21077P108</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320" w:type="dxa"/>
            <w:vAlign w:val="bottom"/>
          </w:tcPr>
          <w:p>
            <w:pPr>
              <w:spacing w:after="0"/>
              <w:rPr>
                <w:sz w:val="24"/>
                <w:szCs w:val="24"/>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60" w:type="dxa"/>
            <w:vAlign w:val="bottom"/>
            <w:gridSpan w:val="12"/>
          </w:tcPr>
          <w:p>
            <w:pPr>
              <w:ind w:left="120"/>
              <w:spacing w:after="0"/>
              <w:rPr>
                <w:sz w:val="20"/>
                <w:szCs w:val="20"/>
                <w:color w:val="auto"/>
              </w:rPr>
            </w:pPr>
            <w:r>
              <w:rPr>
                <w:rFonts w:ascii="Arial" w:cs="Arial" w:eastAsia="Arial" w:hAnsi="Arial"/>
                <w:sz w:val="20"/>
                <w:szCs w:val="20"/>
                <w:b w:val="1"/>
                <w:bCs w:val="1"/>
                <w:color w:val="auto"/>
              </w:rPr>
              <w:t>THE PERSON FILING IS A:</w:t>
            </w:r>
          </w:p>
        </w:tc>
      </w:tr>
    </w:tbl>
    <w:p>
      <w:pPr>
        <w:spacing w:after="0" w:line="185" w:lineRule="exact"/>
        <w:rPr>
          <w:sz w:val="20"/>
          <w:szCs w:val="20"/>
          <w:color w:val="auto"/>
        </w:rPr>
      </w:pPr>
    </w:p>
    <w:p>
      <w:pPr>
        <w:ind w:left="2560" w:hanging="767"/>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7"/>
        <w:spacing w:after="0" w:line="250" w:lineRule="exact"/>
        <w:tabs>
          <w:tab w:leader="none" w:pos="2572"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600" w:hanging="807"/>
        <w:spacing w:after="0"/>
        <w:tabs>
          <w:tab w:leader="none" w:pos="2600" w:val="left"/>
        </w:tabs>
        <w:numPr>
          <w:ilvl w:val="0"/>
          <w:numId w:val="2"/>
        </w:numPr>
        <w:rPr>
          <w:rFonts w:ascii="Arial" w:cs="Arial" w:eastAsia="Arial" w:hAnsi="Arial"/>
          <w:sz w:val="20"/>
          <w:szCs w:val="20"/>
          <w:color w:val="auto"/>
        </w:rPr>
      </w:pPr>
      <w:r>
        <w:rPr>
          <w:rFonts w:ascii="Arial" w:cs="Arial" w:eastAsia="Arial" w:hAnsi="Arial"/>
          <w:sz w:val="20"/>
          <w:szCs w:val="20"/>
          <w:color w:val="auto"/>
        </w:rPr>
        <w:t>ý    Investment adviser in accordance with Rule 13d-1(b)(1)(ii)(E);</w:t>
      </w:r>
    </w:p>
    <w:p>
      <w:pPr>
        <w:spacing w:after="0" w:line="175" w:lineRule="exact"/>
        <w:rPr>
          <w:rFonts w:ascii="Arial" w:cs="Arial" w:eastAsia="Arial" w:hAnsi="Arial"/>
          <w:sz w:val="20"/>
          <w:szCs w:val="20"/>
          <w:color w:val="auto"/>
        </w:rPr>
      </w:pPr>
    </w:p>
    <w:p>
      <w:pPr>
        <w:ind w:left="2560" w:hanging="767"/>
        <w:spacing w:after="0" w:line="230" w:lineRule="exact"/>
        <w:tabs>
          <w:tab w:leader="none" w:pos="256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ectPr>
          <w:pgSz w:w="11900" w:h="16838" w:orient="portrait"/>
          <w:cols w:equalWidth="0" w:num="1">
            <w:col w:w="11240"/>
          </w:cols>
          <w:pgMar w:left="320" w:top="697" w:right="339" w:bottom="1440" w:gutter="0" w:footer="0" w:header="0"/>
        </w:sectPr>
      </w:pPr>
    </w:p>
    <w:bookmarkStart w:id="4" w:name="page5"/>
    <w:bookmarkEnd w:id="4"/>
    <w:p>
      <w:pPr>
        <w:ind w:left="2940" w:right="3320" w:hanging="1247"/>
        <w:spacing w:after="0" w:line="247" w:lineRule="auto"/>
        <w:tabs>
          <w:tab w:leader="none" w:pos="2510" w:val="left"/>
        </w:tabs>
        <w:numPr>
          <w:ilvl w:val="0"/>
          <w:numId w:val="3"/>
        </w:numPr>
        <w:rPr>
          <w:rFonts w:ascii="Arial" w:cs="Arial" w:eastAsia="Arial" w:hAnsi="Arial"/>
          <w:sz w:val="20"/>
          <w:szCs w:val="20"/>
          <w:color w:val="auto"/>
        </w:rPr>
      </w:pPr>
      <w:r>
        <w:rPr>
          <w:rFonts w:ascii="Arial" w:cs="Arial" w:eastAsia="Arial" w:hAnsi="Arial"/>
          <w:sz w:val="20"/>
          <w:szCs w:val="20"/>
          <w:color w:val="auto"/>
        </w:rPr>
        <w:t>ý Parent holding company or control person in accordance with Rule 13d-1(b)(1)(ii)(G);</w:t>
      </w:r>
    </w:p>
    <w:p>
      <w:pPr>
        <w:spacing w:after="0" w:line="1" w:lineRule="exact"/>
        <w:rPr>
          <w:rFonts w:ascii="Arial" w:cs="Arial" w:eastAsia="Arial" w:hAnsi="Arial"/>
          <w:sz w:val="20"/>
          <w:szCs w:val="20"/>
          <w:color w:val="auto"/>
        </w:rPr>
      </w:pPr>
    </w:p>
    <w:p>
      <w:pPr>
        <w:ind w:left="2460" w:hanging="767"/>
        <w:spacing w:after="0" w:line="207" w:lineRule="exact"/>
        <w:tabs>
          <w:tab w:leader="none" w:pos="24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12" w:lineRule="exact"/>
        <w:rPr>
          <w:rFonts w:ascii="Arial" w:cs="Arial" w:eastAsia="Arial" w:hAnsi="Arial"/>
          <w:sz w:val="18"/>
          <w:szCs w:val="18"/>
          <w:color w:val="auto"/>
        </w:rPr>
      </w:pPr>
    </w:p>
    <w:p>
      <w:pPr>
        <w:ind w:left="2940" w:right="200" w:hanging="1247"/>
        <w:spacing w:after="0" w:line="252" w:lineRule="exact"/>
        <w:tabs>
          <w:tab w:leader="none" w:pos="2472"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460" w:hanging="767"/>
        <w:spacing w:after="0" w:line="230" w:lineRule="exact"/>
        <w:tabs>
          <w:tab w:leader="none" w:pos="24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460" w:hanging="767"/>
        <w:spacing w:after="0" w:line="230" w:lineRule="exact"/>
        <w:tabs>
          <w:tab w:leader="none" w:pos="246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700" w:right="300"/>
        <w:spacing w:after="0" w:line="246" w:lineRule="auto"/>
        <w:rPr>
          <w:sz w:val="20"/>
          <w:szCs w:val="20"/>
          <w:color w:val="auto"/>
        </w:rPr>
      </w:pPr>
      <w:r>
        <w:rPr>
          <w:rFonts w:ascii="Arial" w:cs="Arial" w:eastAsia="Arial" w:hAnsi="Arial"/>
          <w:sz w:val="20"/>
          <w:szCs w:val="20"/>
          <w:color w:val="auto"/>
        </w:rPr>
        <w:t>The percentages used in this Schedule 13G are calculated based upon 10,966,053 shares of Common Stock outstanding as of December 1, 2021, as reported in the Company's Prospectus filed pursuant to Rule 424(b)(4) with the Securities and Exchange Commission on December 17, 2021 and assumes the exercise of the warrants held by Hudson Bay Master Fund Ltd.</w:t>
      </w:r>
    </w:p>
    <w:p>
      <w:pPr>
        <w:spacing w:after="0" w:line="205" w:lineRule="exact"/>
        <w:rPr>
          <w:sz w:val="20"/>
          <w:szCs w:val="20"/>
          <w:color w:val="auto"/>
        </w:rPr>
      </w:pPr>
    </w:p>
    <w:p>
      <w:pPr>
        <w:ind w:left="1600"/>
        <w:spacing w:after="0" w:line="244" w:lineRule="auto"/>
        <w:rPr>
          <w:sz w:val="20"/>
          <w:szCs w:val="20"/>
          <w:color w:val="auto"/>
        </w:rPr>
      </w:pPr>
      <w:r>
        <w:rPr>
          <w:rFonts w:ascii="Arial" w:cs="Arial" w:eastAsia="Arial" w:hAnsi="Arial"/>
          <w:sz w:val="20"/>
          <w:szCs w:val="20"/>
          <w:color w:val="auto"/>
        </w:rPr>
        <w:t>The Investment Manager serves as the investment manager to Hudson Bay Master Fund Ltd., in whose name the securities reported herein are held. As such, the Investment Manager may be deemed to be the beneficial owner of all shares of Common underlying the warrants held by Hudson Bay Master Fund Ltd. Mr. Gerber serves as the managing member of Hudson Bay Capital GP LLC, which is the general partner of the Investment Manager. Mr. Gerber disclaims beneficial ownership of these securities.</w:t>
      </w:r>
    </w:p>
    <w:p>
      <w:pPr>
        <w:spacing w:after="0" w:line="202"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See Item 4.</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140"/>
          </w:cols>
          <w:pgMar w:left="420" w:top="703" w:right="339" w:bottom="1440" w:gutter="0" w:footer="0" w:header="0"/>
        </w:sectPr>
      </w:pPr>
    </w:p>
    <w:bookmarkStart w:id="5" w:name="page6"/>
    <w:bookmarkEnd w:id="5"/>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697"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HUDSON BAY CAPITAL MANAGEMENT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86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Sander Gerber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SANDER GERBER</w:t>
      </w:r>
    </w:p>
    <w:p>
      <w:pPr>
        <w:sectPr>
          <w:pgSz w:w="11900" w:h="16838" w:orient="portrait"/>
          <w:cols w:equalWidth="0" w:num="1">
            <w:col w:w="11240"/>
          </w:cols>
          <w:pgMar w:left="320" w:top="69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2,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HUDSON BAY CAPITAL MANAGEMENT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86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Sander Gerber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Sander Gerber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8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SANDER GERBER</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ý"/>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2022-02-02T15:55:37Z</dcterms:created>
  <dcterms:modified xsi:type="dcterms:W3CDTF">2022-02-02T15:55:37Z</dcterms:modified>
</cp:coreProperties>
</file>